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pStyle w:val="BodyText"/>
        <w:ind w:left="2561"/>
        <w:spacing w:before="95" w:line="170" w:lineRule="auto"/>
        <w:rPr>
          <w:sz w:val="22"/>
          <w:szCs w:val="22"/>
        </w:rPr>
      </w:pPr>
      <w:r>
        <w:rPr>
          <w:sz w:val="22"/>
          <w:szCs w:val="22"/>
          <w:b/>
          <w:bCs/>
          <w:color w:val="35C1D1"/>
          <w:spacing w:val="-7"/>
        </w:rPr>
        <w:t>WHITEBOX</w:t>
      </w:r>
      <w:r>
        <w:rPr>
          <w:sz w:val="22"/>
          <w:szCs w:val="22"/>
          <w:b/>
          <w:bCs/>
          <w:color w:val="35C1D1"/>
          <w:spacing w:val="1"/>
        </w:rPr>
        <w:t xml:space="preserve"> </w:t>
      </w:r>
      <w:r>
        <w:rPr>
          <w:sz w:val="22"/>
          <w:szCs w:val="22"/>
          <w:b/>
          <w:bCs/>
          <w:color w:val="35C1D1"/>
          <w:spacing w:val="-7"/>
        </w:rPr>
        <w:t>VIDEO REPLICATION</w:t>
      </w:r>
    </w:p>
    <w:p>
      <w:pPr>
        <w:pStyle w:val="BodyText"/>
        <w:ind w:left="2328" w:right="2015" w:hanging="241"/>
        <w:spacing w:before="458" w:line="243" w:lineRule="auto"/>
        <w:rPr>
          <w:sz w:val="56"/>
          <w:szCs w:val="56"/>
        </w:rPr>
      </w:pPr>
      <w:r>
        <w:rPr>
          <w:sz w:val="56"/>
          <w:szCs w:val="56"/>
          <w:b/>
          <w:bCs/>
          <w:color w:val="1F3048"/>
          <w:spacing w:val="-9"/>
        </w:rPr>
        <w:t>白模视频复刻项目</w:t>
      </w:r>
      <w:r>
        <w:rPr>
          <w:sz w:val="56"/>
          <w:szCs w:val="56"/>
          <w:b/>
          <w:bCs/>
          <w:color w:val="1F3048"/>
          <w:spacing w:val="-4"/>
        </w:rPr>
        <w:t>需求与验收标准</w:t>
      </w:r>
    </w:p>
    <w:p>
      <w:pPr>
        <w:pStyle w:val="BodyText"/>
        <w:ind w:left="3412"/>
        <w:spacing w:before="22" w:line="187" w:lineRule="auto"/>
        <w:rPr/>
      </w:pPr>
      <w:r>
        <w:rPr>
          <w:color w:val="636D7C"/>
          <w:spacing w:val="-7"/>
        </w:rPr>
        <w:t>外发简版</w:t>
      </w:r>
      <w:r>
        <w:rPr>
          <w:color w:val="636D7C"/>
          <w:spacing w:val="65"/>
          <w:w w:val="101"/>
        </w:rPr>
        <w:t xml:space="preserve"> </w:t>
      </w:r>
      <w:r>
        <w:rPr>
          <w:color w:val="636D7C"/>
          <w:spacing w:val="-7"/>
        </w:rPr>
        <w:t>|</w:t>
      </w:r>
      <w:r>
        <w:rPr>
          <w:color w:val="636D7C"/>
          <w:spacing w:val="36"/>
        </w:rPr>
        <w:t xml:space="preserve"> </w:t>
      </w:r>
      <w:r>
        <w:rPr>
          <w:color w:val="636D7C"/>
          <w:spacing w:val="-7"/>
        </w:rPr>
        <w:t>V1.0</w:t>
      </w:r>
    </w:p>
    <w:p>
      <w:pPr>
        <w:spacing w:before="62"/>
        <w:rPr/>
      </w:pPr>
      <w:r/>
    </w:p>
    <w:p>
      <w:pPr>
        <w:spacing w:before="61"/>
        <w:rPr/>
      </w:pPr>
      <w:r/>
    </w:p>
    <w:tbl>
      <w:tblPr>
        <w:tblStyle w:val="TableNormal"/>
        <w:tblW w:w="8508" w:type="dxa"/>
        <w:tblInd w:w="2" w:type="dxa"/>
        <w:shd w:val="clear" w:fill="EAF4F7"/>
        <w:tblLayout w:type="fixed"/>
        <w:tblBorders>
          <w:left w:val="single" w:color="D5E7EA" w:sz="2" w:space="0"/>
          <w:bottom w:val="single" w:color="D5E7EA" w:sz="2" w:space="0"/>
          <w:right w:val="single" w:color="D5E7EA" w:sz="2" w:space="0"/>
          <w:top w:val="single" w:color="D5E7EA" w:sz="2" w:space="0"/>
        </w:tblBorders>
      </w:tblPr>
      <w:tblGrid>
        <w:gridCol w:w="8508"/>
      </w:tblGrid>
      <w:tr>
        <w:trPr>
          <w:trHeight w:val="1825" w:hRule="atLeast"/>
        </w:trPr>
        <w:tc>
          <w:tcPr>
            <w:shd w:val="clear" w:fill="EAF4F7"/>
            <w:tcW w:w="8508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ind w:left="447"/>
              <w:spacing w:before="103" w:line="190" w:lineRule="auto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z w:val="24"/>
                <w:szCs w:val="24"/>
                <w:b/>
                <w:bCs/>
                <w:color w:val="264A54"/>
                <w:spacing w:val="-1"/>
              </w:rPr>
              <w:t>目标：使用简化白模复刻参考视频中的主体、场景、镜头与光照关系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:b/>
                <w:bCs/>
                <w:color w:val="264A54"/>
                <w:spacing w:val="-2"/>
              </w:rPr>
              <w:t>，重</w:t>
            </w:r>
          </w:p>
          <w:p>
            <w:pPr>
              <w:ind w:left="1020"/>
              <w:spacing w:before="141" w:line="191" w:lineRule="auto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z w:val="24"/>
                <w:szCs w:val="24"/>
                <w:b/>
                <w:bCs/>
                <w:color w:val="264A54"/>
                <w:spacing w:val="-2"/>
              </w:rPr>
              <w:t>点保证动作轨迹和时空关系可验证，而非追求精细美术还原。</w:t>
            </w:r>
          </w:p>
        </w:tc>
      </w:tr>
    </w:tbl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1314"/>
        <w:spacing w:before="90" w:line="174" w:lineRule="auto"/>
        <w:rPr>
          <w:sz w:val="21"/>
          <w:szCs w:val="21"/>
        </w:rPr>
      </w:pPr>
      <w:r>
        <w:rPr>
          <w:sz w:val="21"/>
          <w:szCs w:val="21"/>
          <w:color w:val="707884"/>
          <w:spacing w:val="-2"/>
        </w:rPr>
        <w:t>适用于 Blender</w:t>
      </w:r>
      <w:r>
        <w:rPr>
          <w:sz w:val="21"/>
          <w:szCs w:val="21"/>
          <w:color w:val="707884"/>
          <w:spacing w:val="26"/>
        </w:rPr>
        <w:t xml:space="preserve"> </w:t>
      </w:r>
      <w:r>
        <w:rPr>
          <w:sz w:val="21"/>
          <w:szCs w:val="21"/>
          <w:color w:val="707884"/>
          <w:spacing w:val="-2"/>
        </w:rPr>
        <w:t>白模动画、镜头预演、视频复刻与动作对齐项目</w:t>
      </w:r>
    </w:p>
    <w:p>
      <w:pPr>
        <w:pStyle w:val="BodyText"/>
        <w:ind w:left="3906"/>
        <w:spacing w:before="284" w:line="220" w:lineRule="auto"/>
        <w:rPr>
          <w:sz w:val="20"/>
          <w:szCs w:val="20"/>
        </w:rPr>
      </w:pPr>
      <w:r>
        <w:rPr>
          <w:sz w:val="20"/>
          <w:szCs w:val="20"/>
          <w:color w:val="828993"/>
          <w:spacing w:val="-5"/>
        </w:rPr>
        <w:t>2026.07</w:t>
      </w:r>
    </w:p>
    <w:p>
      <w:pPr>
        <w:spacing w:line="220" w:lineRule="auto"/>
        <w:sectPr>
          <w:footerReference w:type="default" r:id="rId1"/>
          <w:pgSz w:w="11907" w:h="16838"/>
          <w:pgMar w:top="1431" w:right="1696" w:bottom="635" w:left="1696" w:header="0" w:footer="344" w:gutter="0"/>
        </w:sectPr>
        <w:rPr>
          <w:sz w:val="20"/>
          <w:szCs w:val="20"/>
        </w:rPr>
      </w:pPr>
    </w:p>
    <w:p>
      <w:pPr>
        <w:pStyle w:val="BodyText"/>
        <w:ind w:left="36"/>
        <w:spacing w:before="66" w:line="191" w:lineRule="auto"/>
        <w:outlineLvl w:val="0"/>
        <w:rPr>
          <w:sz w:val="32"/>
          <w:szCs w:val="32"/>
        </w:rPr>
      </w:pPr>
      <w:r>
        <w:rPr>
          <w:sz w:val="32"/>
          <w:szCs w:val="32"/>
          <w:b/>
          <w:bCs/>
          <w:color w:val="1F3048"/>
          <w:spacing w:val="-4"/>
        </w:rPr>
        <w:t>一、项目目标与基本原则</w:t>
      </w:r>
    </w:p>
    <w:p>
      <w:pPr>
        <w:spacing w:line="101" w:lineRule="exact"/>
        <w:rPr/>
      </w:pPr>
      <w:r/>
    </w:p>
    <w:tbl>
      <w:tblPr>
        <w:tblStyle w:val="TableNormal"/>
        <w:tblW w:w="9978" w:type="dxa"/>
        <w:tblInd w:w="22" w:type="dxa"/>
        <w:shd w:val="clear" w:fill="EAF4F7"/>
        <w:tblLayout w:type="fixed"/>
        <w:tblBorders>
          <w:left w:val="single" w:color="2F7181" w:sz="18" w:space="0"/>
          <w:bottom w:val="single" w:color="EAF4F7" w:sz="2" w:space="0"/>
          <w:right w:val="single" w:color="EAF4F7" w:sz="2" w:space="0"/>
          <w:top w:val="single" w:color="EAF4F7" w:sz="2" w:space="0"/>
        </w:tblBorders>
      </w:tblPr>
      <w:tblGrid>
        <w:gridCol w:w="9978"/>
      </w:tblGrid>
      <w:tr>
        <w:trPr>
          <w:trHeight w:val="1013" w:hRule="atLeast"/>
        </w:trPr>
        <w:tc>
          <w:tcPr>
            <w:shd w:val="clear" w:fill="EAF4F7"/>
            <w:tcW w:w="9978" w:type="dxa"/>
            <w:vAlign w:val="top"/>
          </w:tcPr>
          <w:p>
            <w:pPr>
              <w:pStyle w:val="TableText"/>
              <w:ind w:left="167" w:right="292" w:hanging="4"/>
              <w:spacing w:before="211" w:line="228" w:lineRule="auto"/>
              <w:rPr>
                <w:sz w:val="20"/>
                <w:szCs w:val="20"/>
              </w:rPr>
            </w:pPr>
            <w:r>
              <w:rPr>
                <w:sz w:val="21"/>
                <w:szCs w:val="21"/>
                <w:b/>
                <w:bCs/>
                <w:color w:val="2F7181"/>
                <w:spacing w:val="-1"/>
              </w:rPr>
              <w:t>核心原则</w:t>
            </w:r>
            <w:r>
              <w:rPr>
                <w:sz w:val="21"/>
                <w:szCs w:val="21"/>
                <w:b/>
                <w:bCs/>
                <w:color w:val="2F7181"/>
                <w:spacing w:val="43"/>
              </w:rPr>
              <w:t xml:space="preserve"> </w:t>
            </w:r>
            <w:r>
              <w:rPr>
                <w:sz w:val="20"/>
                <w:szCs w:val="20"/>
                <w:color w:val="2E3540"/>
                <w:spacing w:val="-1"/>
              </w:rPr>
              <w:t>只要建模，就必须尽量与参考视频对齐；若某元素无法稳定对齐且不影响动作、轨迹或空间</w:t>
            </w:r>
            <w:r>
              <w:rPr>
                <w:sz w:val="20"/>
                <w:szCs w:val="20"/>
                <w:color w:val="2E3540"/>
                <w:spacing w:val="-2"/>
              </w:rPr>
              <w:t>关系，</w:t>
            </w:r>
            <w:r>
              <w:rPr>
                <w:sz w:val="20"/>
                <w:szCs w:val="20"/>
                <w:color w:val="2E3540"/>
                <w:spacing w:val="-5"/>
              </w:rPr>
              <w:t>则应简化或不建。</w:t>
            </w:r>
          </w:p>
        </w:tc>
      </w:tr>
    </w:tbl>
    <w:p>
      <w:pPr>
        <w:spacing w:line="342" w:lineRule="auto"/>
        <w:rPr>
          <w:rFonts w:ascii="Arial"/>
          <w:sz w:val="21"/>
        </w:rPr>
      </w:pPr>
      <w:r/>
    </w:p>
    <w:p>
      <w:pPr>
        <w:pStyle w:val="BodyText"/>
        <w:ind w:left="31" w:right="110" w:firstLine="1"/>
        <w:spacing w:before="91" w:line="268" w:lineRule="auto"/>
        <w:rPr>
          <w:sz w:val="21"/>
          <w:szCs w:val="21"/>
        </w:rPr>
      </w:pPr>
      <w:r>
        <w:rPr>
          <w:sz w:val="21"/>
          <w:szCs w:val="21"/>
          <w:color w:val="2E3540"/>
        </w:rPr>
        <w:t>本项目不是精细美术复刻，而是对参考视频中的时空关系进行白模化表达。验收重点为</w:t>
      </w:r>
      <w:r>
        <w:rPr>
          <w:sz w:val="21"/>
          <w:szCs w:val="21"/>
          <w:color w:val="2E3540"/>
          <w:spacing w:val="-1"/>
        </w:rPr>
        <w:t>：主体整体位置、大</w:t>
      </w:r>
      <w:r>
        <w:rPr>
          <w:sz w:val="21"/>
          <w:szCs w:val="21"/>
          <w:color w:val="2E3540"/>
          <w:spacing w:val="-1"/>
        </w:rPr>
        <w:t>小、面部与身体朝向、运动轨迹、场景纵深、镜头运动、切镜时点、遮挡关系和基础光照。</w:t>
      </w:r>
    </w:p>
    <w:p>
      <w:pPr>
        <w:pStyle w:val="BodyText"/>
        <w:ind w:left="45"/>
        <w:spacing w:before="139" w:line="191" w:lineRule="auto"/>
        <w:outlineLvl w:val="1"/>
        <w:rPr>
          <w:sz w:val="25"/>
          <w:szCs w:val="25"/>
        </w:rPr>
      </w:pPr>
      <w:r>
        <w:rPr>
          <w:sz w:val="25"/>
          <w:szCs w:val="25"/>
          <w:b/>
          <w:bCs/>
          <w:color w:val="1F3048"/>
          <w:spacing w:val="-5"/>
        </w:rPr>
        <w:t>1.1 建模范围判定</w:t>
      </w:r>
    </w:p>
    <w:p>
      <w:pPr>
        <w:pStyle w:val="BodyText"/>
        <w:ind w:left="394" w:right="170" w:hanging="370"/>
        <w:spacing w:before="165" w:line="247" w:lineRule="auto"/>
        <w:rPr>
          <w:sz w:val="21"/>
          <w:szCs w:val="21"/>
        </w:rPr>
      </w:pPr>
      <w:r>
        <w:rPr>
          <w:sz w:val="21"/>
          <w:szCs w:val="21"/>
        </w:rPr>
        <w:t>●    </w:t>
      </w:r>
      <w:r>
        <w:rPr>
          <w:sz w:val="21"/>
          <w:szCs w:val="21"/>
          <w:color w:val="2E3540"/>
        </w:rPr>
        <w:t>必须建模：影响空间一致性、镜头运动、</w:t>
      </w:r>
      <w:r>
        <w:rPr>
          <w:sz w:val="21"/>
          <w:szCs w:val="21"/>
          <w:color w:val="2E3540"/>
          <w:spacing w:val="-1"/>
        </w:rPr>
        <w:t>人物运动轨迹、人物与场景交互、遮挡关系、主体接触关系或</w:t>
      </w:r>
      <w:r>
        <w:rPr>
          <w:sz w:val="21"/>
          <w:szCs w:val="21"/>
          <w:color w:val="2E3540"/>
          <w:spacing w:val="-4"/>
        </w:rPr>
        <w:t>关键参照比例的元素。</w:t>
      </w:r>
    </w:p>
    <w:p>
      <w:pPr>
        <w:pStyle w:val="BodyText"/>
        <w:ind w:left="24"/>
        <w:spacing w:before="1" w:line="177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可以简化：只承担轮廓、位置或尺度参考作</w:t>
      </w:r>
      <w:r>
        <w:rPr>
          <w:sz w:val="21"/>
          <w:szCs w:val="21"/>
          <w:color w:val="2E3540"/>
          <w:spacing w:val="-2"/>
        </w:rPr>
        <w:t>用，且不影响镜头与动作判断的元素。</w:t>
      </w:r>
    </w:p>
    <w:p>
      <w:pPr>
        <w:pStyle w:val="BodyText"/>
        <w:ind w:left="24"/>
        <w:spacing w:before="103" w:line="178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可以不建：纯装饰、纹理、复杂材质、细小结构，或无法稳定对齐</w:t>
      </w:r>
      <w:r>
        <w:rPr>
          <w:sz w:val="21"/>
          <w:szCs w:val="21"/>
          <w:color w:val="2E3540"/>
          <w:spacing w:val="-2"/>
        </w:rPr>
        <w:t>且与验收目标无关的元素。</w:t>
      </w:r>
    </w:p>
    <w:p>
      <w:pPr>
        <w:pStyle w:val="BodyText"/>
        <w:ind w:left="24"/>
        <w:spacing w:before="102" w:line="178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模型精细度以“足够支撑动作与空间验收”为上限，</w:t>
      </w:r>
      <w:r>
        <w:rPr>
          <w:sz w:val="21"/>
          <w:szCs w:val="21"/>
          <w:color w:val="2E3540"/>
          <w:spacing w:val="-2"/>
        </w:rPr>
        <w:t>不额外追求真实材质和美术细节。</w:t>
      </w:r>
    </w:p>
    <w:p>
      <w:pPr>
        <w:pStyle w:val="BodyText"/>
        <w:ind w:left="45"/>
        <w:spacing w:before="271" w:line="191" w:lineRule="auto"/>
        <w:outlineLvl w:val="1"/>
        <w:rPr>
          <w:sz w:val="25"/>
          <w:szCs w:val="25"/>
        </w:rPr>
      </w:pPr>
      <w:r>
        <w:rPr>
          <w:sz w:val="25"/>
          <w:szCs w:val="25"/>
          <w:b/>
          <w:bCs/>
          <w:color w:val="1F3048"/>
          <w:spacing w:val="-4"/>
        </w:rPr>
        <w:t>1.2 五项硬性验收维度</w:t>
      </w:r>
    </w:p>
    <w:p>
      <w:pPr>
        <w:spacing w:line="102" w:lineRule="exact"/>
        <w:rPr/>
      </w:pPr>
      <w:r/>
    </w:p>
    <w:tbl>
      <w:tblPr>
        <w:tblStyle w:val="TableNormal"/>
        <w:tblW w:w="9977" w:type="dxa"/>
        <w:tblInd w:w="22" w:type="dxa"/>
        <w:tblLayout w:type="fixed"/>
        <w:tblBorders>
          <w:top w:val="single" w:color="D9DEE7" w:sz="4" w:space="0"/>
          <w:left w:val="single" w:color="D9DEE7" w:sz="4" w:space="0"/>
          <w:bottom w:val="single" w:color="D9DEE7" w:sz="4" w:space="0"/>
          <w:right w:val="single" w:color="D9DEE7" w:sz="4" w:space="0"/>
          <w:insideH w:val="single" w:color="D9DEE7" w:sz="4" w:space="0"/>
          <w:insideV w:val="single" w:color="D9DEE7" w:sz="4" w:space="0"/>
        </w:tblBorders>
      </w:tblPr>
      <w:tblGrid>
        <w:gridCol w:w="1965"/>
        <w:gridCol w:w="8012"/>
      </w:tblGrid>
      <w:tr>
        <w:trPr>
          <w:trHeight w:val="494" w:hRule="atLeast"/>
        </w:trPr>
        <w:tc>
          <w:tcPr>
            <w:shd w:val="clear" w:fill="E9EEF5"/>
            <w:tcW w:w="1965" w:type="dxa"/>
            <w:vAlign w:val="top"/>
          </w:tcPr>
          <w:p>
            <w:pPr>
              <w:pStyle w:val="TableText"/>
              <w:ind w:left="784"/>
              <w:spacing w:before="145" w:line="191" w:lineRule="auto"/>
              <w:rPr/>
            </w:pPr>
            <w:r>
              <w:rPr>
                <w:b/>
                <w:bCs/>
                <w:color w:val="2C3543"/>
                <w:spacing w:val="-1"/>
              </w:rPr>
              <w:t>维度</w:t>
            </w:r>
          </w:p>
        </w:tc>
        <w:tc>
          <w:tcPr>
            <w:shd w:val="clear" w:fill="E9EEF5"/>
            <w:tcW w:w="8012" w:type="dxa"/>
            <w:vAlign w:val="top"/>
          </w:tcPr>
          <w:p>
            <w:pPr>
              <w:pStyle w:val="TableText"/>
              <w:ind w:left="3619"/>
              <w:spacing w:before="145" w:line="191" w:lineRule="auto"/>
              <w:rPr/>
            </w:pPr>
            <w:r>
              <w:rPr>
                <w:b/>
                <w:bCs/>
                <w:color w:val="2C3543"/>
                <w:spacing w:val="-1"/>
              </w:rPr>
              <w:t>硬性要求</w:t>
            </w:r>
          </w:p>
        </w:tc>
      </w:tr>
      <w:tr>
        <w:trPr>
          <w:trHeight w:val="491" w:hRule="atLeast"/>
        </w:trPr>
        <w:tc>
          <w:tcPr>
            <w:shd w:val="clear" w:fill="FFF7D6"/>
            <w:tcW w:w="1965" w:type="dxa"/>
            <w:vAlign w:val="top"/>
          </w:tcPr>
          <w:p>
            <w:pPr>
              <w:pStyle w:val="TableText"/>
              <w:ind w:left="790"/>
              <w:spacing w:before="141" w:line="192" w:lineRule="auto"/>
              <w:rPr/>
            </w:pPr>
            <w:r>
              <w:rPr>
                <w:b/>
                <w:bCs/>
                <w:color w:val="725000"/>
                <w:spacing w:val="-3"/>
              </w:rPr>
              <w:t>主体</w:t>
            </w:r>
          </w:p>
        </w:tc>
        <w:tc>
          <w:tcPr>
            <w:tcW w:w="8012" w:type="dxa"/>
            <w:vAlign w:val="top"/>
          </w:tcPr>
          <w:p>
            <w:pPr>
              <w:pStyle w:val="TableText"/>
              <w:ind w:left="97"/>
              <w:spacing w:before="144" w:line="203" w:lineRule="auto"/>
              <w:rPr/>
            </w:pPr>
            <w:r>
              <w:rPr>
                <w:spacing w:val="-1"/>
              </w:rPr>
              <w:t>整体位置、大小、面部/身体朝向、运动轨迹</w:t>
            </w:r>
          </w:p>
        </w:tc>
      </w:tr>
      <w:tr>
        <w:trPr>
          <w:trHeight w:val="490" w:hRule="atLeast"/>
        </w:trPr>
        <w:tc>
          <w:tcPr>
            <w:shd w:val="clear" w:fill="FFF7D6"/>
            <w:tcW w:w="1965" w:type="dxa"/>
            <w:vAlign w:val="top"/>
          </w:tcPr>
          <w:p>
            <w:pPr>
              <w:pStyle w:val="TableText"/>
              <w:ind w:left="785"/>
              <w:spacing w:before="142" w:line="192" w:lineRule="auto"/>
              <w:rPr/>
            </w:pPr>
            <w:r>
              <w:rPr>
                <w:b/>
                <w:bCs/>
                <w:color w:val="725000"/>
                <w:spacing w:val="-2"/>
              </w:rPr>
              <w:t>场景</w:t>
            </w:r>
          </w:p>
        </w:tc>
        <w:tc>
          <w:tcPr>
            <w:tcW w:w="8012" w:type="dxa"/>
            <w:vAlign w:val="top"/>
          </w:tcPr>
          <w:p>
            <w:pPr>
              <w:pStyle w:val="TableText"/>
              <w:ind w:left="104"/>
              <w:spacing w:before="144" w:line="175" w:lineRule="auto"/>
              <w:rPr/>
            </w:pPr>
            <w:r>
              <w:rPr>
                <w:spacing w:val="-1"/>
              </w:rPr>
              <w:t>空间透视、纵深关系、关键参照物比例与位置</w:t>
            </w:r>
          </w:p>
        </w:tc>
      </w:tr>
      <w:tr>
        <w:trPr>
          <w:trHeight w:val="491" w:hRule="atLeast"/>
        </w:trPr>
        <w:tc>
          <w:tcPr>
            <w:shd w:val="clear" w:fill="FFF7D6"/>
            <w:tcW w:w="1965" w:type="dxa"/>
            <w:vAlign w:val="top"/>
          </w:tcPr>
          <w:p>
            <w:pPr>
              <w:pStyle w:val="TableText"/>
              <w:ind w:left="784"/>
              <w:spacing w:before="142" w:line="191" w:lineRule="auto"/>
              <w:rPr/>
            </w:pPr>
            <w:r>
              <w:rPr>
                <w:b/>
                <w:bCs/>
                <w:color w:val="725000"/>
                <w:spacing w:val="-1"/>
              </w:rPr>
              <w:t>镜头</w:t>
            </w:r>
          </w:p>
        </w:tc>
        <w:tc>
          <w:tcPr>
            <w:tcW w:w="8012" w:type="dxa"/>
            <w:vAlign w:val="top"/>
          </w:tcPr>
          <w:p>
            <w:pPr>
              <w:pStyle w:val="TableText"/>
              <w:ind w:left="95"/>
              <w:spacing w:before="146" w:line="175" w:lineRule="auto"/>
              <w:rPr/>
            </w:pPr>
            <w:r>
              <w:rPr>
                <w:spacing w:val="-1"/>
              </w:rPr>
              <w:t>切镜、运镜类型、节奏、视角、遮挡与稳定性</w:t>
            </w:r>
          </w:p>
        </w:tc>
      </w:tr>
      <w:tr>
        <w:trPr>
          <w:trHeight w:val="490" w:hRule="atLeast"/>
        </w:trPr>
        <w:tc>
          <w:tcPr>
            <w:shd w:val="clear" w:fill="FFF7D6"/>
            <w:tcW w:w="1965" w:type="dxa"/>
            <w:vAlign w:val="top"/>
          </w:tcPr>
          <w:p>
            <w:pPr>
              <w:pStyle w:val="TableText"/>
              <w:ind w:left="785"/>
              <w:spacing w:before="142" w:line="191" w:lineRule="auto"/>
              <w:rPr/>
            </w:pPr>
            <w:r>
              <w:rPr>
                <w:b/>
                <w:bCs/>
                <w:color w:val="725000"/>
                <w:spacing w:val="-2"/>
              </w:rPr>
              <w:t>光照</w:t>
            </w:r>
          </w:p>
        </w:tc>
        <w:tc>
          <w:tcPr>
            <w:tcW w:w="8012" w:type="dxa"/>
            <w:vAlign w:val="top"/>
          </w:tcPr>
          <w:p>
            <w:pPr>
              <w:pStyle w:val="TableText"/>
              <w:ind w:left="98"/>
              <w:spacing w:before="146" w:line="175" w:lineRule="auto"/>
              <w:rPr/>
            </w:pPr>
            <w:r>
              <w:rPr>
                <w:spacing w:val="-1"/>
              </w:rPr>
              <w:t>方向、强弱、明暗关系、光源运动与相对效果</w:t>
            </w:r>
          </w:p>
        </w:tc>
      </w:tr>
      <w:tr>
        <w:trPr>
          <w:trHeight w:val="491" w:hRule="atLeast"/>
        </w:trPr>
        <w:tc>
          <w:tcPr>
            <w:shd w:val="clear" w:fill="FFF7D6"/>
            <w:tcW w:w="1965" w:type="dxa"/>
            <w:vAlign w:val="top"/>
          </w:tcPr>
          <w:p>
            <w:pPr>
              <w:pStyle w:val="TableText"/>
              <w:ind w:left="789"/>
              <w:spacing w:before="143" w:line="192" w:lineRule="auto"/>
              <w:rPr/>
            </w:pPr>
            <w:r>
              <w:rPr>
                <w:b/>
                <w:bCs/>
                <w:color w:val="725000"/>
                <w:spacing w:val="-3"/>
              </w:rPr>
              <w:t>交付</w:t>
            </w:r>
          </w:p>
        </w:tc>
        <w:tc>
          <w:tcPr>
            <w:tcW w:w="8012" w:type="dxa"/>
            <w:vAlign w:val="top"/>
          </w:tcPr>
          <w:p>
            <w:pPr>
              <w:pStyle w:val="TableText"/>
              <w:ind w:left="97"/>
              <w:spacing w:before="148" w:line="177" w:lineRule="auto"/>
              <w:rPr/>
            </w:pPr>
            <w:r>
              <w:rPr>
                <w:spacing w:val="-1"/>
              </w:rPr>
              <w:t>视频与参考时长匹配，工程结构清晰，可复核、可修改</w:t>
            </w:r>
          </w:p>
        </w:tc>
      </w:tr>
      <w:tr>
        <w:trPr>
          <w:trHeight w:val="1011" w:hRule="atLeast"/>
        </w:trPr>
        <w:tc>
          <w:tcPr>
            <w:shd w:val="clear" w:fill="FFF0EE"/>
            <w:tcW w:w="9977" w:type="dxa"/>
            <w:vAlign w:val="top"/>
            <w:gridSpan w:val="2"/>
            <w:tcBorders>
              <w:bottom w:val="single" w:color="FFF0EE" w:sz="2" w:space="0"/>
              <w:right w:val="single" w:color="FFF0EE" w:sz="2" w:space="0"/>
              <w:left w:val="single" w:color="9E3A32" w:sz="18" w:space="0"/>
            </w:tcBorders>
          </w:tcPr>
          <w:p>
            <w:pPr>
              <w:pStyle w:val="TableText"/>
              <w:ind w:left="167" w:right="217" w:hanging="1"/>
              <w:spacing w:before="210" w:line="234" w:lineRule="auto"/>
              <w:rPr>
                <w:sz w:val="20"/>
                <w:szCs w:val="20"/>
              </w:rPr>
            </w:pPr>
            <w:r>
              <w:rPr>
                <w:sz w:val="21"/>
                <w:szCs w:val="21"/>
                <w:b/>
                <w:bCs/>
                <w:color w:val="9E3A32"/>
                <w:spacing w:val="-1"/>
              </w:rPr>
              <w:t>不合格的典型表现</w:t>
            </w:r>
            <w:r>
              <w:rPr>
                <w:sz w:val="21"/>
                <w:szCs w:val="21"/>
                <w:b/>
                <w:bCs/>
                <w:color w:val="9E3A32"/>
                <w:spacing w:val="71"/>
              </w:rPr>
              <w:t xml:space="preserve"> </w:t>
            </w:r>
            <w:r>
              <w:rPr>
                <w:sz w:val="20"/>
                <w:szCs w:val="20"/>
                <w:color w:val="2E3540"/>
                <w:spacing w:val="-1"/>
              </w:rPr>
              <w:t>白模“看起来像”，但主体站位、转向、动作节奏、镜头轨迹或场景纵深与参考视频明显</w:t>
            </w:r>
            <w:r>
              <w:rPr>
                <w:sz w:val="20"/>
                <w:szCs w:val="20"/>
                <w:color w:val="2E3540"/>
                <w:spacing w:val="-7"/>
              </w:rPr>
              <w:t>不一致。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"/>
          <w:pgSz w:w="11907" w:h="16838"/>
          <w:pgMar w:top="935" w:right="959" w:bottom="635" w:left="941" w:header="0" w:footer="34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41"/>
        <w:spacing w:before="67" w:line="191" w:lineRule="auto"/>
        <w:outlineLvl w:val="0"/>
        <w:rPr>
          <w:sz w:val="32"/>
          <w:szCs w:val="32"/>
        </w:rPr>
      </w:pPr>
      <w:r>
        <w:rPr>
          <w:sz w:val="32"/>
          <w:szCs w:val="32"/>
          <w:b/>
          <w:bCs/>
          <w:color w:val="1F3048"/>
          <w:spacing w:val="-3"/>
        </w:rPr>
        <w:t>二、场景要求</w:t>
      </w:r>
    </w:p>
    <w:p>
      <w:pPr>
        <w:pStyle w:val="BodyText"/>
        <w:ind w:left="34" w:right="173" w:hanging="2"/>
        <w:spacing w:before="166" w:line="268" w:lineRule="auto"/>
        <w:rPr>
          <w:sz w:val="21"/>
          <w:szCs w:val="21"/>
        </w:rPr>
      </w:pPr>
      <w:r>
        <w:rPr>
          <w:sz w:val="21"/>
          <w:szCs w:val="21"/>
          <w:color w:val="2E3540"/>
        </w:rPr>
        <w:t>场景的作用是支撑镜头、主体和关键事件的空间关系。场景是否搭建、搭建到什么程度</w:t>
      </w:r>
      <w:r>
        <w:rPr>
          <w:sz w:val="21"/>
          <w:szCs w:val="21"/>
          <w:color w:val="2E3540"/>
          <w:spacing w:val="-1"/>
        </w:rPr>
        <w:t>，应由参考视频中的</w:t>
      </w:r>
      <w:r>
        <w:rPr>
          <w:sz w:val="21"/>
          <w:szCs w:val="21"/>
          <w:color w:val="2E3540"/>
          <w:spacing w:val="-2"/>
        </w:rPr>
        <w:t>交互、遮挡、镜头运动和关键参照物共同决定。</w:t>
      </w:r>
    </w:p>
    <w:p>
      <w:pPr>
        <w:ind w:firstLine="204"/>
        <w:spacing w:before="7" w:line="3521" w:lineRule="exact"/>
        <w:rPr/>
      </w:pPr>
      <w:r>
        <w:rPr>
          <w:position w:val="-70"/>
        </w:rPr>
        <w:drawing>
          <wp:inline distT="0" distB="0" distL="0" distR="0">
            <wp:extent cx="6263626" cy="2235821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63626" cy="223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2713"/>
        <w:spacing w:before="299" w:line="202" w:lineRule="auto"/>
        <w:rPr>
          <w:sz w:val="17"/>
          <w:szCs w:val="17"/>
        </w:rPr>
      </w:pPr>
      <w:r>
        <w:rPr>
          <w:sz w:val="17"/>
          <w:szCs w:val="17"/>
          <w:color w:val="707884"/>
          <w:spacing w:val="-2"/>
        </w:rPr>
        <w:t>图 1</w:t>
      </w:r>
      <w:r>
        <w:rPr>
          <w:sz w:val="17"/>
          <w:szCs w:val="17"/>
          <w:color w:val="707884"/>
          <w:spacing w:val="48"/>
          <w:w w:val="101"/>
        </w:rPr>
        <w:t xml:space="preserve"> </w:t>
      </w:r>
      <w:r>
        <w:rPr>
          <w:sz w:val="17"/>
          <w:szCs w:val="17"/>
          <w:color w:val="707884"/>
          <w:spacing w:val="-2"/>
        </w:rPr>
        <w:t>场景验收关注：透视、距离、比例、遮挡与主体互动关系</w:t>
      </w:r>
    </w:p>
    <w:p>
      <w:pPr>
        <w:pStyle w:val="BodyText"/>
        <w:ind w:left="33"/>
        <w:spacing w:before="218" w:line="190" w:lineRule="auto"/>
        <w:outlineLvl w:val="1"/>
        <w:rPr>
          <w:sz w:val="25"/>
          <w:szCs w:val="25"/>
        </w:rPr>
      </w:pPr>
      <w:r>
        <w:rPr>
          <w:sz w:val="25"/>
          <w:szCs w:val="25"/>
          <w:b/>
          <w:bCs/>
          <w:color w:val="1F3048"/>
          <w:spacing w:val="-3"/>
        </w:rPr>
        <w:t>2.1 场景必须搭建的情况</w:t>
      </w:r>
    </w:p>
    <w:p>
      <w:pPr>
        <w:pStyle w:val="BodyText"/>
        <w:ind w:left="24"/>
        <w:spacing w:before="166" w:line="178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镜头存在推、拉、摇、移、环绕、跟拍等运</w:t>
      </w:r>
      <w:r>
        <w:rPr>
          <w:sz w:val="21"/>
          <w:szCs w:val="21"/>
          <w:color w:val="2E3540"/>
          <w:spacing w:val="-2"/>
        </w:rPr>
        <w:t>动，背景空间会影响视差和透视变化。</w:t>
      </w:r>
    </w:p>
    <w:p>
      <w:pPr>
        <w:pStyle w:val="BodyText"/>
        <w:ind w:left="24"/>
        <w:spacing w:before="104" w:line="175" w:lineRule="auto"/>
        <w:rPr>
          <w:sz w:val="21"/>
          <w:szCs w:val="21"/>
        </w:rPr>
      </w:pPr>
      <w:r>
        <w:rPr>
          <w:sz w:val="21"/>
          <w:szCs w:val="21"/>
          <w:spacing w:val="-2"/>
        </w:rPr>
        <w:t>●    </w:t>
      </w:r>
      <w:r>
        <w:rPr>
          <w:sz w:val="21"/>
          <w:szCs w:val="21"/>
          <w:color w:val="2E3540"/>
          <w:spacing w:val="-2"/>
        </w:rPr>
        <w:t>主体需要在场景中行走、坐下、接触、穿过、进出画或与物体发生互动。</w:t>
      </w:r>
    </w:p>
    <w:p>
      <w:pPr>
        <w:pStyle w:val="BodyText"/>
        <w:ind w:left="24"/>
        <w:spacing w:before="107" w:line="178" w:lineRule="auto"/>
        <w:rPr>
          <w:sz w:val="21"/>
          <w:szCs w:val="21"/>
        </w:rPr>
      </w:pPr>
      <w:r>
        <w:rPr>
          <w:sz w:val="21"/>
          <w:szCs w:val="21"/>
          <w:spacing w:val="-2"/>
        </w:rPr>
        <w:t>●    </w:t>
      </w:r>
      <w:r>
        <w:rPr>
          <w:sz w:val="21"/>
          <w:szCs w:val="21"/>
          <w:color w:val="2E3540"/>
          <w:spacing w:val="-2"/>
        </w:rPr>
        <w:t>场景元素会遮挡主体、形成前后景层次，或决定切镜后的空间连续性。</w:t>
      </w:r>
    </w:p>
    <w:p>
      <w:pPr>
        <w:pStyle w:val="BodyText"/>
        <w:ind w:left="24"/>
        <w:spacing w:before="102" w:line="178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参考视频中存在关键参照物，其比例、位置</w:t>
      </w:r>
      <w:r>
        <w:rPr>
          <w:sz w:val="21"/>
          <w:szCs w:val="21"/>
          <w:color w:val="2E3540"/>
          <w:spacing w:val="-2"/>
        </w:rPr>
        <w:t>或距离用于判断主体尺度与运动轨迹。</w:t>
      </w:r>
    </w:p>
    <w:p>
      <w:pPr>
        <w:pStyle w:val="BodyText"/>
        <w:ind w:left="24"/>
        <w:spacing w:before="103" w:line="178" w:lineRule="auto"/>
        <w:rPr>
          <w:sz w:val="21"/>
          <w:szCs w:val="21"/>
        </w:rPr>
      </w:pPr>
      <w:r>
        <w:rPr>
          <w:sz w:val="21"/>
          <w:szCs w:val="21"/>
          <w:spacing w:val="-2"/>
        </w:rPr>
        <w:t>●    </w:t>
      </w:r>
      <w:r>
        <w:rPr>
          <w:sz w:val="21"/>
          <w:szCs w:val="21"/>
          <w:color w:val="2E3540"/>
          <w:spacing w:val="-2"/>
        </w:rPr>
        <w:t>切镜前后场景存在明显交集，需要保持空间连续性。</w:t>
      </w:r>
    </w:p>
    <w:p>
      <w:pPr>
        <w:pStyle w:val="BodyText"/>
        <w:ind w:left="33"/>
        <w:spacing w:before="272" w:line="191" w:lineRule="auto"/>
        <w:outlineLvl w:val="1"/>
        <w:rPr>
          <w:sz w:val="25"/>
          <w:szCs w:val="25"/>
        </w:rPr>
      </w:pPr>
      <w:r>
        <w:rPr>
          <w:sz w:val="25"/>
          <w:szCs w:val="25"/>
          <w:b/>
          <w:bCs/>
          <w:color w:val="1F3048"/>
          <w:spacing w:val="-2"/>
        </w:rPr>
        <w:t>2.2 场景可简化或拆分的情况</w:t>
      </w:r>
    </w:p>
    <w:p>
      <w:pPr>
        <w:pStyle w:val="BodyText"/>
        <w:ind w:left="24"/>
        <w:spacing w:before="166" w:line="178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固定机位、主体动作简单，背景仅承担色块或轮廓作用时，可使用低精度几何</w:t>
      </w:r>
      <w:r>
        <w:rPr>
          <w:sz w:val="21"/>
          <w:szCs w:val="21"/>
          <w:color w:val="2E3540"/>
          <w:spacing w:val="-2"/>
        </w:rPr>
        <w:t>体。</w:t>
      </w:r>
    </w:p>
    <w:p>
      <w:pPr>
        <w:pStyle w:val="BodyText"/>
        <w:ind w:left="24"/>
        <w:spacing w:before="100" w:line="204" w:lineRule="auto"/>
        <w:rPr>
          <w:sz w:val="21"/>
          <w:szCs w:val="21"/>
        </w:rPr>
      </w:pPr>
      <w:r>
        <w:rPr>
          <w:sz w:val="21"/>
          <w:szCs w:val="21"/>
        </w:rPr>
        <w:t>●    </w:t>
      </w:r>
      <w:r>
        <w:rPr>
          <w:sz w:val="21"/>
          <w:szCs w:val="21"/>
          <w:color w:val="2E3540"/>
        </w:rPr>
        <w:t>切镜后的场景与上一镜头完全无交集，可按镜头分别建立独立场景或独立collection。</w:t>
      </w:r>
    </w:p>
    <w:p>
      <w:pPr>
        <w:pStyle w:val="BodyText"/>
        <w:ind w:left="24"/>
        <w:spacing w:before="65" w:line="197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只需表现墙面、地面、桌面、门洞等大尺度边界时，不需要制</w:t>
      </w:r>
      <w:r>
        <w:rPr>
          <w:sz w:val="21"/>
          <w:szCs w:val="21"/>
          <w:color w:val="2E3540"/>
          <w:spacing w:val="-2"/>
        </w:rPr>
        <w:t>作纹理、装饰和细小结构。</w:t>
      </w:r>
    </w:p>
    <w:p>
      <w:pPr>
        <w:pStyle w:val="BodyText"/>
        <w:ind w:left="33"/>
        <w:spacing w:before="244" w:line="191" w:lineRule="auto"/>
        <w:outlineLvl w:val="1"/>
        <w:rPr>
          <w:sz w:val="25"/>
          <w:szCs w:val="25"/>
        </w:rPr>
      </w:pPr>
      <w:r>
        <w:rPr>
          <w:sz w:val="25"/>
          <w:szCs w:val="25"/>
          <w:b/>
          <w:bCs/>
          <w:color w:val="1F3048"/>
          <w:spacing w:val="-3"/>
        </w:rPr>
        <w:t>2.3 场景验收标准</w:t>
      </w:r>
    </w:p>
    <w:p>
      <w:pPr>
        <w:spacing w:line="101" w:lineRule="exact"/>
        <w:rPr/>
      </w:pPr>
      <w:r/>
    </w:p>
    <w:tbl>
      <w:tblPr>
        <w:tblStyle w:val="TableNormal"/>
        <w:tblW w:w="9977" w:type="dxa"/>
        <w:tblInd w:w="22" w:type="dxa"/>
        <w:tblLayout w:type="fixed"/>
        <w:tblBorders>
          <w:top w:val="single" w:color="D9DEE7" w:sz="4" w:space="0"/>
          <w:left w:val="single" w:color="D9DEE7" w:sz="4" w:space="0"/>
          <w:bottom w:val="single" w:color="D9DEE7" w:sz="4" w:space="0"/>
          <w:right w:val="single" w:color="D9DEE7" w:sz="4" w:space="0"/>
          <w:insideH w:val="single" w:color="D9DEE7" w:sz="4" w:space="0"/>
          <w:insideV w:val="single" w:color="D9DEE7" w:sz="4" w:space="0"/>
        </w:tblBorders>
      </w:tblPr>
      <w:tblGrid>
        <w:gridCol w:w="1965"/>
        <w:gridCol w:w="4290"/>
        <w:gridCol w:w="3722"/>
      </w:tblGrid>
      <w:tr>
        <w:trPr>
          <w:trHeight w:val="494" w:hRule="atLeast"/>
        </w:trPr>
        <w:tc>
          <w:tcPr>
            <w:shd w:val="clear" w:fill="E9EEF5"/>
            <w:tcW w:w="1965" w:type="dxa"/>
            <w:vAlign w:val="top"/>
          </w:tcPr>
          <w:p>
            <w:pPr>
              <w:pStyle w:val="TableText"/>
              <w:ind w:left="691"/>
              <w:spacing w:before="145" w:line="191" w:lineRule="auto"/>
              <w:rPr/>
            </w:pPr>
            <w:r>
              <w:rPr>
                <w:b/>
                <w:bCs/>
                <w:color w:val="2C3543"/>
                <w:spacing w:val="-2"/>
              </w:rPr>
              <w:t>检查项</w:t>
            </w:r>
          </w:p>
        </w:tc>
        <w:tc>
          <w:tcPr>
            <w:shd w:val="clear" w:fill="E9EEF5"/>
            <w:tcW w:w="4290" w:type="dxa"/>
            <w:vAlign w:val="top"/>
          </w:tcPr>
          <w:p>
            <w:pPr>
              <w:pStyle w:val="TableText"/>
              <w:ind w:left="1756"/>
              <w:spacing w:before="145" w:line="191" w:lineRule="auto"/>
              <w:rPr/>
            </w:pPr>
            <w:r>
              <w:rPr>
                <w:b/>
                <w:bCs/>
                <w:color w:val="2C3543"/>
                <w:spacing w:val="-1"/>
              </w:rPr>
              <w:t>合格标准</w:t>
            </w:r>
          </w:p>
        </w:tc>
        <w:tc>
          <w:tcPr>
            <w:shd w:val="clear" w:fill="E9EEF5"/>
            <w:tcW w:w="3722" w:type="dxa"/>
            <w:vAlign w:val="top"/>
          </w:tcPr>
          <w:p>
            <w:pPr>
              <w:pStyle w:val="TableText"/>
              <w:ind w:left="1489"/>
              <w:spacing w:before="145" w:line="190" w:lineRule="auto"/>
              <w:rPr/>
            </w:pPr>
            <w:r>
              <w:rPr>
                <w:b/>
                <w:bCs/>
                <w:color w:val="2C3543"/>
                <w:spacing w:val="-3"/>
              </w:rPr>
              <w:t>常见问题</w:t>
            </w:r>
          </w:p>
        </w:tc>
      </w:tr>
      <w:tr>
        <w:trPr>
          <w:trHeight w:val="477" w:hRule="atLeast"/>
        </w:trPr>
        <w:tc>
          <w:tcPr>
            <w:tcW w:w="1965" w:type="dxa"/>
            <w:vAlign w:val="top"/>
          </w:tcPr>
          <w:p>
            <w:pPr>
              <w:pStyle w:val="TableText"/>
              <w:ind w:left="622"/>
              <w:spacing w:before="139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空间透视</w:t>
            </w:r>
          </w:p>
        </w:tc>
        <w:tc>
          <w:tcPr>
            <w:tcW w:w="4290" w:type="dxa"/>
            <w:vAlign w:val="top"/>
          </w:tcPr>
          <w:p>
            <w:pPr>
              <w:pStyle w:val="TableText"/>
              <w:ind w:left="99"/>
              <w:spacing w:before="145" w:line="175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主体与背景的消失关系、视差变化与参考一致</w:t>
            </w:r>
          </w:p>
        </w:tc>
        <w:tc>
          <w:tcPr>
            <w:tcW w:w="3722" w:type="dxa"/>
            <w:vAlign w:val="top"/>
          </w:tcPr>
          <w:p>
            <w:pPr>
              <w:pStyle w:val="TableText"/>
              <w:ind w:left="107"/>
              <w:spacing w:before="146" w:line="175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房间尺度错误、近大远小关系不匹配</w:t>
            </w:r>
          </w:p>
        </w:tc>
      </w:tr>
      <w:tr>
        <w:trPr>
          <w:trHeight w:val="476" w:hRule="atLeast"/>
        </w:trPr>
        <w:tc>
          <w:tcPr>
            <w:tcW w:w="1965" w:type="dxa"/>
            <w:vAlign w:val="top"/>
          </w:tcPr>
          <w:p>
            <w:pPr>
              <w:pStyle w:val="TableText"/>
              <w:ind w:left="526"/>
              <w:spacing w:before="139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"/>
              </w:rPr>
              <w:t>关键参照物</w:t>
            </w:r>
          </w:p>
        </w:tc>
        <w:tc>
          <w:tcPr>
            <w:tcW w:w="4290" w:type="dxa"/>
            <w:vAlign w:val="top"/>
          </w:tcPr>
          <w:p>
            <w:pPr>
              <w:pStyle w:val="TableText"/>
              <w:ind w:left="104"/>
              <w:spacing w:before="145" w:line="175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比例、位置、距离和出入画时机准确</w:t>
            </w:r>
          </w:p>
        </w:tc>
        <w:tc>
          <w:tcPr>
            <w:tcW w:w="3722" w:type="dxa"/>
            <w:vAlign w:val="top"/>
          </w:tcPr>
          <w:p>
            <w:pPr>
              <w:pStyle w:val="TableText"/>
              <w:ind w:left="106"/>
              <w:spacing w:before="145" w:line="178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物体只是“放了”，但不参与空间判断</w:t>
            </w:r>
          </w:p>
        </w:tc>
      </w:tr>
      <w:tr>
        <w:trPr>
          <w:trHeight w:val="477" w:hRule="atLeast"/>
        </w:trPr>
        <w:tc>
          <w:tcPr>
            <w:tcW w:w="1965" w:type="dxa"/>
            <w:vAlign w:val="top"/>
          </w:tcPr>
          <w:p>
            <w:pPr>
              <w:pStyle w:val="TableText"/>
              <w:ind w:left="615"/>
              <w:spacing w:before="140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"/>
              </w:rPr>
              <w:t>遮挡关系</w:t>
            </w:r>
          </w:p>
        </w:tc>
        <w:tc>
          <w:tcPr>
            <w:tcW w:w="4290" w:type="dxa"/>
            <w:vAlign w:val="top"/>
          </w:tcPr>
          <w:p>
            <w:pPr>
              <w:pStyle w:val="TableText"/>
              <w:ind w:left="99"/>
              <w:spacing w:before="146" w:line="203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前景/背景对主体的遮挡时点一致</w:t>
            </w:r>
          </w:p>
        </w:tc>
        <w:tc>
          <w:tcPr>
            <w:tcW w:w="3722" w:type="dxa"/>
            <w:vAlign w:val="top"/>
          </w:tcPr>
          <w:p>
            <w:pPr>
              <w:pStyle w:val="TableText"/>
              <w:ind w:left="108"/>
              <w:spacing w:before="145" w:line="197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遮挡提前或延后，人物穿模</w:t>
            </w:r>
          </w:p>
        </w:tc>
      </w:tr>
      <w:tr>
        <w:trPr>
          <w:trHeight w:val="476" w:hRule="atLeast"/>
        </w:trPr>
        <w:tc>
          <w:tcPr>
            <w:tcW w:w="1965" w:type="dxa"/>
            <w:vAlign w:val="top"/>
          </w:tcPr>
          <w:p>
            <w:pPr>
              <w:pStyle w:val="TableText"/>
              <w:ind w:left="620"/>
              <w:spacing w:before="141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主体互动</w:t>
            </w:r>
          </w:p>
        </w:tc>
        <w:tc>
          <w:tcPr>
            <w:tcW w:w="4290" w:type="dxa"/>
            <w:vAlign w:val="top"/>
          </w:tcPr>
          <w:p>
            <w:pPr>
              <w:pStyle w:val="TableText"/>
              <w:ind w:left="94"/>
              <w:spacing w:before="146" w:line="175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接触点、跨越、坐靠、穿过关系清楚</w:t>
            </w:r>
          </w:p>
        </w:tc>
        <w:tc>
          <w:tcPr>
            <w:tcW w:w="3722" w:type="dxa"/>
            <w:vAlign w:val="top"/>
          </w:tcPr>
          <w:p>
            <w:pPr>
              <w:pStyle w:val="TableText"/>
              <w:ind w:left="110"/>
              <w:spacing w:before="147" w:line="17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手脚悬空、接触面偏移</w:t>
            </w:r>
          </w:p>
        </w:tc>
      </w:tr>
      <w:tr>
        <w:trPr>
          <w:trHeight w:val="477" w:hRule="atLeast"/>
        </w:trPr>
        <w:tc>
          <w:tcPr>
            <w:tcW w:w="1965" w:type="dxa"/>
            <w:vAlign w:val="top"/>
          </w:tcPr>
          <w:p>
            <w:pPr>
              <w:pStyle w:val="TableText"/>
              <w:ind w:left="524"/>
              <w:spacing w:before="142" w:line="19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"/>
              </w:rPr>
              <w:t>切镜连续性</w:t>
            </w:r>
          </w:p>
        </w:tc>
        <w:tc>
          <w:tcPr>
            <w:tcW w:w="4290" w:type="dxa"/>
            <w:vAlign w:val="top"/>
          </w:tcPr>
          <w:p>
            <w:pPr>
              <w:pStyle w:val="TableText"/>
              <w:ind w:left="96"/>
              <w:spacing w:before="148" w:line="175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有交集的镜头保持空间方向和尺度一致</w:t>
            </w:r>
          </w:p>
        </w:tc>
        <w:tc>
          <w:tcPr>
            <w:tcW w:w="3722" w:type="dxa"/>
            <w:vAlign w:val="top"/>
          </w:tcPr>
          <w:p>
            <w:pPr>
              <w:pStyle w:val="TableText"/>
              <w:ind w:left="106"/>
              <w:spacing w:before="148" w:line="175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切镜后左右关系或深度关系反转</w:t>
            </w:r>
          </w:p>
        </w:tc>
      </w:tr>
      <w:tr>
        <w:trPr>
          <w:trHeight w:val="1011" w:hRule="atLeast"/>
        </w:trPr>
        <w:tc>
          <w:tcPr>
            <w:shd w:val="clear" w:fill="FFF5D6"/>
            <w:tcW w:w="9977" w:type="dxa"/>
            <w:vAlign w:val="top"/>
            <w:gridSpan w:val="3"/>
            <w:tcBorders>
              <w:bottom w:val="single" w:color="FFF5D6" w:sz="2" w:space="0"/>
              <w:right w:val="single" w:color="FFF5D6" w:sz="2" w:space="0"/>
              <w:left w:val="single" w:color="9A6B00" w:sz="18" w:space="0"/>
            </w:tcBorders>
          </w:tcPr>
          <w:p>
            <w:pPr>
              <w:pStyle w:val="TableText"/>
              <w:ind w:left="173" w:right="257" w:hanging="9"/>
              <w:spacing w:before="210" w:line="228" w:lineRule="auto"/>
              <w:rPr>
                <w:sz w:val="20"/>
                <w:szCs w:val="20"/>
              </w:rPr>
            </w:pPr>
            <w:r>
              <w:rPr>
                <w:sz w:val="21"/>
                <w:szCs w:val="21"/>
                <w:b/>
                <w:bCs/>
                <w:color w:val="9A6B00"/>
              </w:rPr>
              <w:t>硬性对齐</w:t>
            </w:r>
            <w:r>
              <w:rPr>
                <w:sz w:val="21"/>
                <w:szCs w:val="21"/>
                <w:b/>
                <w:bCs/>
                <w:color w:val="9A6B00"/>
                <w:spacing w:val="43"/>
                <w:w w:val="101"/>
              </w:rPr>
              <w:t xml:space="preserve"> </w:t>
            </w:r>
            <w:r>
              <w:rPr>
                <w:sz w:val="20"/>
                <w:szCs w:val="20"/>
                <w:color w:val="2E3540"/>
              </w:rPr>
              <w:t>主体在场景中的站位、角度、比例与运动轨迹必须准确；场</w:t>
            </w:r>
            <w:r>
              <w:rPr>
                <w:sz w:val="20"/>
                <w:szCs w:val="20"/>
                <w:color w:val="2E3540"/>
                <w:spacing w:val="-1"/>
              </w:rPr>
              <w:t>景不是“背景板”，而是镜头与动作关</w:t>
            </w:r>
            <w:r>
              <w:rPr>
                <w:sz w:val="20"/>
                <w:szCs w:val="20"/>
                <w:color w:val="2E3540"/>
                <w:spacing w:val="-3"/>
              </w:rPr>
              <w:t>系的一部分。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7" w:h="16838"/>
          <w:pgMar w:top="1075" w:right="896" w:bottom="635" w:left="941" w:header="0" w:footer="34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27"/>
        <w:spacing w:before="67" w:line="191" w:lineRule="auto"/>
        <w:outlineLvl w:val="0"/>
        <w:rPr>
          <w:sz w:val="32"/>
          <w:szCs w:val="32"/>
        </w:rPr>
      </w:pPr>
      <w:r>
        <w:rPr>
          <w:sz w:val="32"/>
          <w:szCs w:val="32"/>
          <w:b/>
          <w:bCs/>
          <w:color w:val="1F3048"/>
          <w:spacing w:val="-3"/>
        </w:rPr>
        <w:t>三、主体要求</w:t>
      </w:r>
    </w:p>
    <w:p>
      <w:pPr>
        <w:pStyle w:val="BodyText"/>
        <w:ind w:left="17" w:right="173" w:firstLine="1"/>
        <w:spacing w:before="165" w:line="269" w:lineRule="auto"/>
        <w:rPr>
          <w:sz w:val="21"/>
          <w:szCs w:val="21"/>
        </w:rPr>
      </w:pPr>
      <w:r>
        <w:rPr>
          <w:sz w:val="21"/>
          <w:szCs w:val="21"/>
          <w:color w:val="2E3540"/>
        </w:rPr>
        <w:t>主体只需表达整体位置、大小、面部与身体朝向以及运动轨迹。人形主体优先</w:t>
      </w:r>
      <w:r>
        <w:rPr>
          <w:sz w:val="21"/>
          <w:szCs w:val="21"/>
          <w:color w:val="2E3540"/>
          <w:spacing w:val="-1"/>
        </w:rPr>
        <w:t>使用球体表示头部，长方体或</w:t>
      </w:r>
      <w:r>
        <w:rPr>
          <w:sz w:val="21"/>
          <w:szCs w:val="21"/>
          <w:color w:val="2E3540"/>
          <w:spacing w:val="-1"/>
        </w:rPr>
        <w:t>简化肢体表示身体与四肢。</w:t>
      </w:r>
    </w:p>
    <w:p>
      <w:pPr>
        <w:ind w:firstLine="186"/>
        <w:spacing w:before="5" w:line="3028" w:lineRule="exact"/>
        <w:rPr/>
      </w:pPr>
      <w:r>
        <w:rPr>
          <w:position w:val="-60"/>
        </w:rPr>
        <w:drawing>
          <wp:inline distT="0" distB="0" distL="0" distR="0">
            <wp:extent cx="6263626" cy="1922780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63626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3906"/>
        <w:spacing w:before="298" w:line="204" w:lineRule="auto"/>
        <w:rPr>
          <w:sz w:val="17"/>
          <w:szCs w:val="17"/>
        </w:rPr>
      </w:pPr>
      <w:r>
        <w:rPr>
          <w:sz w:val="17"/>
          <w:szCs w:val="17"/>
          <w:color w:val="707884"/>
          <w:spacing w:val="-4"/>
        </w:rPr>
        <w:t>图 2</w:t>
      </w:r>
      <w:r>
        <w:rPr>
          <w:sz w:val="17"/>
          <w:szCs w:val="17"/>
          <w:color w:val="707884"/>
          <w:spacing w:val="37"/>
          <w:w w:val="101"/>
        </w:rPr>
        <w:t xml:space="preserve"> </w:t>
      </w:r>
      <w:r>
        <w:rPr>
          <w:sz w:val="17"/>
          <w:szCs w:val="17"/>
          <w:color w:val="707884"/>
          <w:spacing w:val="-4"/>
        </w:rPr>
        <w:t>人形主体建模等级 L0-L3</w:t>
      </w:r>
    </w:p>
    <w:p>
      <w:pPr>
        <w:pStyle w:val="BodyText"/>
        <w:ind w:left="13"/>
        <w:spacing w:before="216" w:line="191" w:lineRule="auto"/>
        <w:outlineLvl w:val="1"/>
        <w:rPr>
          <w:sz w:val="25"/>
          <w:szCs w:val="25"/>
        </w:rPr>
      </w:pPr>
      <w:r>
        <w:rPr>
          <w:sz w:val="25"/>
          <w:szCs w:val="25"/>
          <w:b/>
          <w:bCs/>
          <w:color w:val="1F3048"/>
          <w:spacing w:val="-3"/>
        </w:rPr>
        <w:t>3.1 人形主体等级</w:t>
      </w:r>
    </w:p>
    <w:p>
      <w:pPr>
        <w:spacing w:line="100" w:lineRule="exact"/>
        <w:rPr/>
      </w:pPr>
      <w:r/>
    </w:p>
    <w:tbl>
      <w:tblPr>
        <w:tblStyle w:val="TableNormal"/>
        <w:tblW w:w="9977" w:type="dxa"/>
        <w:tblInd w:w="5" w:type="dxa"/>
        <w:tblLayout w:type="fixed"/>
        <w:tblBorders>
          <w:top w:val="single" w:color="D9DEE7" w:sz="4" w:space="0"/>
          <w:left w:val="single" w:color="D9DEE7" w:sz="4" w:space="0"/>
          <w:bottom w:val="single" w:color="D9DEE7" w:sz="4" w:space="0"/>
          <w:right w:val="single" w:color="D9DEE7" w:sz="4" w:space="0"/>
          <w:insideH w:val="single" w:color="D9DEE7" w:sz="4" w:space="0"/>
          <w:insideV w:val="single" w:color="D9DEE7" w:sz="4" w:space="0"/>
        </w:tblBorders>
      </w:tblPr>
      <w:tblGrid>
        <w:gridCol w:w="1249"/>
        <w:gridCol w:w="3003"/>
        <w:gridCol w:w="3001"/>
        <w:gridCol w:w="2724"/>
      </w:tblGrid>
      <w:tr>
        <w:trPr>
          <w:trHeight w:val="495" w:hRule="atLeast"/>
        </w:trPr>
        <w:tc>
          <w:tcPr>
            <w:shd w:val="clear" w:fill="E9EEF5"/>
            <w:tcW w:w="1249" w:type="dxa"/>
            <w:vAlign w:val="top"/>
          </w:tcPr>
          <w:p>
            <w:pPr>
              <w:pStyle w:val="TableText"/>
              <w:ind w:left="433"/>
              <w:spacing w:before="146" w:line="191" w:lineRule="auto"/>
              <w:rPr/>
            </w:pPr>
            <w:r>
              <w:rPr>
                <w:b/>
                <w:bCs/>
                <w:color w:val="2C3543"/>
                <w:spacing w:val="-1"/>
              </w:rPr>
              <w:t>等级</w:t>
            </w:r>
          </w:p>
        </w:tc>
        <w:tc>
          <w:tcPr>
            <w:shd w:val="clear" w:fill="E9EEF5"/>
            <w:tcW w:w="3003" w:type="dxa"/>
            <w:vAlign w:val="top"/>
          </w:tcPr>
          <w:p>
            <w:pPr>
              <w:pStyle w:val="TableText"/>
              <w:ind w:left="1121"/>
              <w:spacing w:before="146" w:line="191" w:lineRule="auto"/>
              <w:rPr/>
            </w:pPr>
            <w:r>
              <w:rPr>
                <w:b/>
                <w:bCs/>
                <w:color w:val="2C3543"/>
                <w:spacing w:val="-1"/>
              </w:rPr>
              <w:t>适用动作</w:t>
            </w:r>
          </w:p>
        </w:tc>
        <w:tc>
          <w:tcPr>
            <w:shd w:val="clear" w:fill="E9EEF5"/>
            <w:tcW w:w="3001" w:type="dxa"/>
            <w:vAlign w:val="top"/>
          </w:tcPr>
          <w:p>
            <w:pPr>
              <w:pStyle w:val="TableText"/>
              <w:ind w:left="1122"/>
              <w:spacing w:before="146" w:line="191" w:lineRule="auto"/>
              <w:rPr/>
            </w:pPr>
            <w:r>
              <w:rPr>
                <w:b/>
                <w:bCs/>
                <w:color w:val="2C3543"/>
                <w:spacing w:val="-1"/>
              </w:rPr>
              <w:t>结构要求</w:t>
            </w:r>
          </w:p>
        </w:tc>
        <w:tc>
          <w:tcPr>
            <w:shd w:val="clear" w:fill="E9EEF5"/>
            <w:tcW w:w="2724" w:type="dxa"/>
            <w:vAlign w:val="top"/>
          </w:tcPr>
          <w:p>
            <w:pPr>
              <w:pStyle w:val="TableText"/>
              <w:ind w:left="983"/>
              <w:spacing w:before="145" w:line="191" w:lineRule="auto"/>
              <w:rPr/>
            </w:pPr>
            <w:r>
              <w:rPr>
                <w:b/>
                <w:bCs/>
                <w:color w:val="2C3543"/>
                <w:spacing w:val="-1"/>
              </w:rPr>
              <w:t>使用原则</w:t>
            </w:r>
          </w:p>
        </w:tc>
      </w:tr>
      <w:tr>
        <w:trPr>
          <w:trHeight w:val="474" w:hRule="atLeast"/>
        </w:trPr>
        <w:tc>
          <w:tcPr>
            <w:shd w:val="clear" w:fill="EAF4F7"/>
            <w:tcW w:w="1249" w:type="dxa"/>
            <w:vAlign w:val="top"/>
          </w:tcPr>
          <w:p>
            <w:pPr>
              <w:pStyle w:val="TableText"/>
              <w:ind w:left="531"/>
              <w:spacing w:before="161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265D68"/>
                <w:spacing w:val="-4"/>
              </w:rPr>
              <w:t>L0</w:t>
            </w:r>
          </w:p>
        </w:tc>
        <w:tc>
          <w:tcPr>
            <w:tcW w:w="3003" w:type="dxa"/>
            <w:vAlign w:val="top"/>
          </w:tcPr>
          <w:p>
            <w:pPr>
              <w:pStyle w:val="TableText"/>
              <w:ind w:left="111"/>
              <w:spacing w:before="146" w:line="175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站立、走动、对话、出入画</w:t>
            </w:r>
          </w:p>
        </w:tc>
        <w:tc>
          <w:tcPr>
            <w:tcW w:w="3001" w:type="dxa"/>
            <w:vAlign w:val="top"/>
          </w:tcPr>
          <w:p>
            <w:pPr>
              <w:pStyle w:val="TableText"/>
              <w:ind w:left="115"/>
              <w:spacing w:before="146" w:line="17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8"/>
              </w:rPr>
              <w:t>头部 + 整体躯干</w:t>
            </w:r>
          </w:p>
        </w:tc>
        <w:tc>
          <w:tcPr>
            <w:tcW w:w="2724" w:type="dxa"/>
            <w:vAlign w:val="top"/>
          </w:tcPr>
          <w:p>
            <w:pPr>
              <w:pStyle w:val="TableText"/>
              <w:ind w:left="116"/>
              <w:spacing w:before="146" w:line="177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优先使用，适合多数基础动作</w:t>
            </w:r>
          </w:p>
        </w:tc>
      </w:tr>
      <w:tr>
        <w:trPr>
          <w:trHeight w:val="476" w:hRule="atLeast"/>
        </w:trPr>
        <w:tc>
          <w:tcPr>
            <w:shd w:val="clear" w:fill="EAF4F7"/>
            <w:tcW w:w="1249" w:type="dxa"/>
            <w:vAlign w:val="top"/>
          </w:tcPr>
          <w:p>
            <w:pPr>
              <w:pStyle w:val="TableText"/>
              <w:ind w:left="531"/>
              <w:spacing w:before="164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265D68"/>
                <w:spacing w:val="-4"/>
              </w:rPr>
              <w:t>L1</w:t>
            </w:r>
          </w:p>
        </w:tc>
        <w:tc>
          <w:tcPr>
            <w:tcW w:w="3003" w:type="dxa"/>
            <w:vAlign w:val="top"/>
          </w:tcPr>
          <w:p>
            <w:pPr>
              <w:pStyle w:val="TableText"/>
              <w:ind w:left="110"/>
              <w:spacing w:before="148" w:line="177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坐下、弯腰、蹲下、俯身、躺卧</w:t>
            </w:r>
          </w:p>
        </w:tc>
        <w:tc>
          <w:tcPr>
            <w:tcW w:w="3001" w:type="dxa"/>
            <w:vAlign w:val="top"/>
          </w:tcPr>
          <w:p>
            <w:pPr>
              <w:pStyle w:val="TableText"/>
              <w:ind w:left="115"/>
              <w:spacing w:before="149" w:line="17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8"/>
              </w:rPr>
              <w:t>头部 + 上下躯干</w:t>
            </w:r>
          </w:p>
        </w:tc>
        <w:tc>
          <w:tcPr>
            <w:tcW w:w="2724" w:type="dxa"/>
            <w:vAlign w:val="top"/>
          </w:tcPr>
          <w:p>
            <w:pPr>
              <w:pStyle w:val="TableText"/>
              <w:ind w:left="121"/>
              <w:spacing w:before="149" w:line="175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需要表现躯干折叠或姿态变化</w:t>
            </w:r>
          </w:p>
        </w:tc>
      </w:tr>
      <w:tr>
        <w:trPr>
          <w:trHeight w:val="742" w:hRule="atLeast"/>
        </w:trPr>
        <w:tc>
          <w:tcPr>
            <w:shd w:val="clear" w:fill="EAF4F7"/>
            <w:tcW w:w="1249" w:type="dxa"/>
            <w:vAlign w:val="top"/>
          </w:tcPr>
          <w:p>
            <w:pPr>
              <w:pStyle w:val="TableText"/>
              <w:ind w:left="531"/>
              <w:spacing w:before="298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265D68"/>
                <w:spacing w:val="-4"/>
              </w:rPr>
              <w:t>L2</w:t>
            </w:r>
          </w:p>
        </w:tc>
        <w:tc>
          <w:tcPr>
            <w:tcW w:w="3003" w:type="dxa"/>
            <w:vAlign w:val="top"/>
          </w:tcPr>
          <w:p>
            <w:pPr>
              <w:pStyle w:val="TableText"/>
              <w:ind w:left="118"/>
              <w:spacing w:before="284" w:line="17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常规手臂、腿部动作</w:t>
            </w:r>
          </w:p>
        </w:tc>
        <w:tc>
          <w:tcPr>
            <w:tcW w:w="3001" w:type="dxa"/>
            <w:vAlign w:val="top"/>
          </w:tcPr>
          <w:p>
            <w:pPr>
              <w:pStyle w:val="TableText"/>
              <w:ind w:left="112"/>
              <w:spacing w:before="284" w:line="178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增加四肢，表达大致姿态</w:t>
            </w:r>
          </w:p>
        </w:tc>
        <w:tc>
          <w:tcPr>
            <w:tcW w:w="2724" w:type="dxa"/>
            <w:vAlign w:val="top"/>
          </w:tcPr>
          <w:p>
            <w:pPr>
              <w:pStyle w:val="TableText"/>
              <w:ind w:left="114" w:right="224" w:firstLine="2"/>
              <w:spacing w:before="144" w:line="241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现阶段最常用，兼顾效率与可读</w:t>
            </w:r>
            <w:r>
              <w:rPr>
                <w:sz w:val="17"/>
                <w:szCs w:val="17"/>
              </w:rPr>
              <w:t>性</w:t>
            </w:r>
          </w:p>
        </w:tc>
      </w:tr>
      <w:tr>
        <w:trPr>
          <w:trHeight w:val="747" w:hRule="atLeast"/>
        </w:trPr>
        <w:tc>
          <w:tcPr>
            <w:shd w:val="clear" w:fill="EAF4F7"/>
            <w:tcW w:w="1249" w:type="dxa"/>
            <w:vAlign w:val="top"/>
          </w:tcPr>
          <w:p>
            <w:pPr>
              <w:pStyle w:val="TableText"/>
              <w:ind w:left="531"/>
              <w:spacing w:before="300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265D68"/>
                <w:spacing w:val="-4"/>
              </w:rPr>
              <w:t>L3</w:t>
            </w:r>
          </w:p>
        </w:tc>
        <w:tc>
          <w:tcPr>
            <w:tcW w:w="3003" w:type="dxa"/>
            <w:vAlign w:val="top"/>
          </w:tcPr>
          <w:p>
            <w:pPr>
              <w:pStyle w:val="TableText"/>
              <w:ind w:left="108"/>
              <w:spacing w:before="286" w:line="17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持续复杂动作、关键关节动作</w:t>
            </w:r>
          </w:p>
        </w:tc>
        <w:tc>
          <w:tcPr>
            <w:tcW w:w="3001" w:type="dxa"/>
            <w:vAlign w:val="top"/>
          </w:tcPr>
          <w:p>
            <w:pPr>
              <w:pStyle w:val="TableText"/>
              <w:ind w:left="113"/>
              <w:spacing w:before="286" w:line="175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分段四肢或必要关节</w:t>
            </w:r>
          </w:p>
        </w:tc>
        <w:tc>
          <w:tcPr>
            <w:tcW w:w="2724" w:type="dxa"/>
            <w:vAlign w:val="top"/>
          </w:tcPr>
          <w:p>
            <w:pPr>
              <w:pStyle w:val="TableText"/>
              <w:ind w:left="123" w:right="224" w:hanging="9"/>
              <w:spacing w:before="143" w:line="244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仅在验收需要时使用，可按镜头</w:t>
            </w:r>
            <w:r>
              <w:rPr>
                <w:sz w:val="17"/>
                <w:szCs w:val="17"/>
                <w:spacing w:val="-4"/>
              </w:rPr>
              <w:t>回退</w:t>
            </w:r>
          </w:p>
        </w:tc>
      </w:tr>
    </w:tbl>
    <w:p>
      <w:pPr>
        <w:pStyle w:val="BodyText"/>
        <w:ind w:left="13"/>
        <w:spacing w:before="233" w:line="191" w:lineRule="auto"/>
        <w:outlineLvl w:val="1"/>
        <w:rPr>
          <w:sz w:val="25"/>
          <w:szCs w:val="25"/>
        </w:rPr>
      </w:pPr>
      <w:r>
        <w:rPr>
          <w:sz w:val="25"/>
          <w:szCs w:val="25"/>
          <w:b/>
          <w:bCs/>
          <w:color w:val="1F3048"/>
          <w:spacing w:val="-4"/>
        </w:rPr>
        <w:t>3.2 朝向标识</w:t>
      </w:r>
    </w:p>
    <w:p>
      <w:pPr>
        <w:pStyle w:val="BodyText"/>
        <w:ind w:left="6"/>
        <w:spacing w:before="168" w:line="177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面部和身体必须分别具备清晰的朝向标识，用于判断转头、转身及面身</w:t>
      </w:r>
      <w:r>
        <w:rPr>
          <w:sz w:val="21"/>
          <w:szCs w:val="21"/>
          <w:color w:val="2E3540"/>
          <w:spacing w:val="-2"/>
        </w:rPr>
        <w:t>不同步动作。</w:t>
      </w:r>
    </w:p>
    <w:p>
      <w:pPr>
        <w:pStyle w:val="BodyText"/>
        <w:ind w:left="6"/>
        <w:spacing w:before="102" w:line="178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标识条必须贴合主体表面，使用高对比色，不接受悬空片、独立立体块、</w:t>
      </w:r>
      <w:r>
        <w:rPr>
          <w:sz w:val="21"/>
          <w:szCs w:val="21"/>
          <w:color w:val="2E3540"/>
          <w:spacing w:val="-39"/>
        </w:rPr>
        <w:t xml:space="preserve"> </w:t>
      </w:r>
      <w:r>
        <w:rPr>
          <w:sz w:val="21"/>
          <w:szCs w:val="21"/>
          <w:color w:val="2E3540"/>
          <w:spacing w:val="-1"/>
        </w:rPr>
        <w:t>凹陷或其他改变造型的形式。</w:t>
      </w:r>
    </w:p>
    <w:p>
      <w:pPr>
        <w:pStyle w:val="BodyText"/>
        <w:ind w:left="6"/>
        <w:spacing w:before="102" w:line="203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同一主体的主体颜色在全片保持一致；多个主体必须使用可区分的颜色。</w:t>
      </w:r>
    </w:p>
    <w:p>
      <w:pPr>
        <w:pStyle w:val="BodyText"/>
        <w:ind w:left="6"/>
        <w:spacing w:before="67" w:line="178" w:lineRule="auto"/>
        <w:rPr>
          <w:sz w:val="21"/>
          <w:szCs w:val="21"/>
        </w:rPr>
      </w:pPr>
      <w:r>
        <w:rPr>
          <w:sz w:val="21"/>
          <w:szCs w:val="21"/>
          <w:spacing w:val="-3"/>
        </w:rPr>
        <w:t>●    </w:t>
      </w:r>
      <w:r>
        <w:rPr>
          <w:sz w:val="21"/>
          <w:szCs w:val="21"/>
          <w:color w:val="2E3540"/>
          <w:spacing w:val="-3"/>
        </w:rPr>
        <w:t>所有主体的朝向标识色应统一</w:t>
      </w:r>
      <w:r>
        <w:rPr>
          <w:sz w:val="21"/>
          <w:szCs w:val="21"/>
          <w:color w:val="2E3540"/>
          <w:spacing w:val="-32"/>
        </w:rPr>
        <w:t xml:space="preserve"> </w:t>
      </w:r>
      <w:r>
        <w:rPr>
          <w:sz w:val="21"/>
          <w:szCs w:val="21"/>
          <w:color w:val="2E3540"/>
          <w:spacing w:val="-3"/>
        </w:rPr>
        <w:t>，便于快速验收。</w:t>
      </w:r>
    </w:p>
    <w:p>
      <w:pPr>
        <w:pStyle w:val="BodyText"/>
        <w:ind w:left="13"/>
        <w:spacing w:before="270" w:line="191" w:lineRule="auto"/>
        <w:outlineLvl w:val="1"/>
        <w:rPr>
          <w:sz w:val="25"/>
          <w:szCs w:val="25"/>
        </w:rPr>
      </w:pPr>
      <w:r>
        <w:rPr>
          <w:sz w:val="25"/>
          <w:szCs w:val="25"/>
          <w:b/>
          <w:bCs/>
          <w:color w:val="1F3048"/>
          <w:spacing w:val="-3"/>
        </w:rPr>
        <w:t>3.3 动作与轨迹</w:t>
      </w:r>
    </w:p>
    <w:p>
      <w:pPr>
        <w:pStyle w:val="BodyText"/>
        <w:ind w:left="6"/>
        <w:spacing w:before="167" w:line="175" w:lineRule="auto"/>
        <w:rPr>
          <w:sz w:val="21"/>
          <w:szCs w:val="21"/>
        </w:rPr>
      </w:pPr>
      <w:r>
        <w:rPr>
          <w:sz w:val="21"/>
          <w:szCs w:val="21"/>
          <w:spacing w:val="-2"/>
        </w:rPr>
        <w:t>●    </w:t>
      </w:r>
      <w:r>
        <w:rPr>
          <w:sz w:val="21"/>
          <w:szCs w:val="21"/>
          <w:color w:val="2E3540"/>
          <w:spacing w:val="-2"/>
        </w:rPr>
        <w:t>主体在画面中的站位、尺寸、角度和可见性应与参考视频对齐。</w:t>
      </w:r>
    </w:p>
    <w:p>
      <w:pPr>
        <w:pStyle w:val="BodyText"/>
        <w:ind w:left="6"/>
        <w:spacing w:before="107" w:line="178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运动轨迹需连续、流畅，关键动</w:t>
      </w:r>
      <w:r>
        <w:rPr>
          <w:sz w:val="21"/>
          <w:szCs w:val="21"/>
          <w:color w:val="2E3540"/>
          <w:spacing w:val="-2"/>
        </w:rPr>
        <w:t>作的开始、峰值和结束时点应匹配参考。</w:t>
      </w:r>
    </w:p>
    <w:p>
      <w:pPr>
        <w:pStyle w:val="BodyText"/>
        <w:ind w:left="6"/>
        <w:spacing w:before="103" w:line="202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翅膀、裙摆、头发等低频、影响轮廓或轨迹的动作需要表达；高频抖动和细碎摆动可忽略。</w:t>
      </w:r>
    </w:p>
    <w:p>
      <w:pPr>
        <w:pStyle w:val="BodyText"/>
        <w:ind w:left="378" w:right="247" w:hanging="372"/>
        <w:spacing w:before="65" w:line="257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若四肢是否建模不影响验收，可使用更低等级；若某条手臂/腿承担关键动作，</w:t>
      </w:r>
      <w:r>
        <w:rPr>
          <w:sz w:val="21"/>
          <w:szCs w:val="21"/>
          <w:color w:val="2E3540"/>
          <w:spacing w:val="-2"/>
        </w:rPr>
        <w:t>则按 L3 表达，其余部分</w:t>
      </w:r>
      <w:r>
        <w:rPr>
          <w:sz w:val="21"/>
          <w:szCs w:val="21"/>
          <w:color w:val="2E3540"/>
          <w:spacing w:val="-4"/>
        </w:rPr>
        <w:t>可维持 L1/L2。</w:t>
      </w:r>
    </w:p>
    <w:p>
      <w:pPr>
        <w:pStyle w:val="BodyText"/>
        <w:ind w:left="13"/>
        <w:spacing w:before="139" w:line="191" w:lineRule="auto"/>
        <w:outlineLvl w:val="1"/>
        <w:rPr>
          <w:sz w:val="25"/>
          <w:szCs w:val="25"/>
        </w:rPr>
      </w:pPr>
      <w:r>
        <w:rPr>
          <w:sz w:val="25"/>
          <w:szCs w:val="25"/>
          <w:b/>
          <w:bCs/>
          <w:color w:val="1F3048"/>
          <w:spacing w:val="-3"/>
        </w:rPr>
        <w:t>3.4 非人形主体</w:t>
      </w:r>
    </w:p>
    <w:p>
      <w:pPr>
        <w:pStyle w:val="BodyText"/>
        <w:ind w:left="14" w:right="207"/>
        <w:spacing w:before="166" w:line="270" w:lineRule="auto"/>
        <w:rPr>
          <w:sz w:val="21"/>
          <w:szCs w:val="21"/>
        </w:rPr>
      </w:pPr>
      <w:r>
        <w:rPr>
          <w:sz w:val="21"/>
          <w:szCs w:val="21"/>
          <w:color w:val="2E3540"/>
          <w:spacing w:val="-1"/>
        </w:rPr>
        <w:t>根据生物或物体轮廓，组合使用长方体、球体、圆柱体、圆锥体和胶囊体等基础几何体。重点是近似轮廓、</w:t>
      </w:r>
      <w:r>
        <w:rPr>
          <w:sz w:val="21"/>
          <w:szCs w:val="21"/>
          <w:color w:val="2E3540"/>
          <w:spacing w:val="-1"/>
        </w:rPr>
        <w:t>质心、朝向和运动轨迹，避免为了“像”而引入过多不可控细节。</w:t>
      </w:r>
    </w:p>
    <w:p>
      <w:pPr>
        <w:spacing w:line="270" w:lineRule="auto"/>
        <w:sectPr>
          <w:footerReference w:type="default" r:id="rId5"/>
          <w:pgSz w:w="11907" w:h="16838"/>
          <w:pgMar w:top="1075" w:right="896" w:bottom="636" w:left="959" w:header="0" w:footer="354" w:gutter="0"/>
        </w:sectPr>
        <w:rPr>
          <w:sz w:val="21"/>
          <w:szCs w:val="21"/>
        </w:rPr>
      </w:pPr>
    </w:p>
    <w:p>
      <w:pPr>
        <w:pStyle w:val="BodyText"/>
        <w:ind w:left="49"/>
        <w:spacing w:before="65" w:line="191" w:lineRule="auto"/>
        <w:outlineLvl w:val="0"/>
        <w:rPr>
          <w:sz w:val="32"/>
          <w:szCs w:val="32"/>
        </w:rPr>
      </w:pPr>
      <w:r>
        <w:rPr>
          <w:sz w:val="32"/>
          <w:szCs w:val="32"/>
          <w:b/>
          <w:bCs/>
          <w:color w:val="1F3048"/>
          <w:spacing w:val="-4"/>
        </w:rPr>
        <w:t>四、镜头要求</w:t>
      </w:r>
    </w:p>
    <w:p>
      <w:pPr>
        <w:pStyle w:val="BodyText"/>
        <w:ind w:left="31"/>
        <w:spacing w:before="167" w:line="175" w:lineRule="auto"/>
        <w:rPr>
          <w:sz w:val="21"/>
          <w:szCs w:val="21"/>
        </w:rPr>
      </w:pPr>
      <w:r>
        <w:rPr>
          <w:sz w:val="21"/>
          <w:szCs w:val="21"/>
          <w:color w:val="2E3540"/>
          <w:spacing w:val="-1"/>
        </w:rPr>
        <w:t>镜头需要尽可能保持参考视频的切镜时点、运镜方式、拍摄角度、画面构图及主体与空间的交互关系。</w:t>
      </w:r>
    </w:p>
    <w:p>
      <w:pPr>
        <w:spacing w:line="160" w:lineRule="exact"/>
        <w:rPr/>
      </w:pPr>
      <w:r/>
    </w:p>
    <w:tbl>
      <w:tblPr>
        <w:tblStyle w:val="TableNormal"/>
        <w:tblW w:w="9977" w:type="dxa"/>
        <w:tblInd w:w="22" w:type="dxa"/>
        <w:tblLayout w:type="fixed"/>
        <w:tblBorders>
          <w:top w:val="single" w:color="D9DEE7" w:sz="4" w:space="0"/>
          <w:left w:val="single" w:color="D9DEE7" w:sz="4" w:space="0"/>
          <w:bottom w:val="single" w:color="D9DEE7" w:sz="4" w:space="0"/>
          <w:right w:val="single" w:color="D9DEE7" w:sz="4" w:space="0"/>
          <w:insideH w:val="single" w:color="D9DEE7" w:sz="4" w:space="0"/>
          <w:insideV w:val="single" w:color="D9DEE7" w:sz="4" w:space="0"/>
        </w:tblBorders>
      </w:tblPr>
      <w:tblGrid>
        <w:gridCol w:w="2438"/>
        <w:gridCol w:w="7539"/>
      </w:tblGrid>
      <w:tr>
        <w:trPr>
          <w:trHeight w:val="495" w:hRule="atLeast"/>
        </w:trPr>
        <w:tc>
          <w:tcPr>
            <w:shd w:val="clear" w:fill="E9EEF5"/>
            <w:tcW w:w="2438" w:type="dxa"/>
            <w:vAlign w:val="top"/>
          </w:tcPr>
          <w:p>
            <w:pPr>
              <w:pStyle w:val="TableText"/>
              <w:ind w:left="1028"/>
              <w:spacing w:before="146" w:line="191" w:lineRule="auto"/>
              <w:rPr/>
            </w:pPr>
            <w:r>
              <w:rPr>
                <w:b/>
                <w:bCs/>
                <w:color w:val="2C3543"/>
                <w:spacing w:val="-1"/>
              </w:rPr>
              <w:t>维度</w:t>
            </w:r>
          </w:p>
        </w:tc>
        <w:tc>
          <w:tcPr>
            <w:shd w:val="clear" w:fill="E9EEF5"/>
            <w:tcW w:w="7539" w:type="dxa"/>
            <w:vAlign w:val="top"/>
          </w:tcPr>
          <w:p>
            <w:pPr>
              <w:pStyle w:val="TableText"/>
              <w:ind w:left="3200"/>
              <w:spacing w:before="146" w:line="190" w:lineRule="auto"/>
              <w:rPr/>
            </w:pPr>
            <w:r>
              <w:rPr>
                <w:b/>
                <w:bCs/>
                <w:color w:val="2C3543"/>
                <w:spacing w:val="-1"/>
              </w:rPr>
              <w:t>硬性对齐标准</w:t>
            </w:r>
          </w:p>
        </w:tc>
      </w:tr>
      <w:tr>
        <w:trPr>
          <w:trHeight w:val="475" w:hRule="atLeast"/>
        </w:trPr>
        <w:tc>
          <w:tcPr>
            <w:shd w:val="clear" w:fill="FFF7D6"/>
            <w:tcW w:w="2438" w:type="dxa"/>
            <w:vAlign w:val="top"/>
          </w:tcPr>
          <w:p>
            <w:pPr>
              <w:pStyle w:val="TableText"/>
              <w:ind w:left="1038"/>
              <w:spacing w:before="139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725000"/>
                <w:spacing w:val="-1"/>
              </w:rPr>
              <w:t>切镜</w:t>
            </w:r>
          </w:p>
        </w:tc>
        <w:tc>
          <w:tcPr>
            <w:tcW w:w="7539" w:type="dxa"/>
            <w:vAlign w:val="top"/>
          </w:tcPr>
          <w:p>
            <w:pPr>
              <w:pStyle w:val="TableText"/>
              <w:ind w:left="110"/>
              <w:spacing w:before="142" w:line="20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切镜时点与参考对齐；切换前后主体动作和空</w:t>
            </w:r>
            <w:r>
              <w:rPr>
                <w:sz w:val="18"/>
                <w:szCs w:val="18"/>
                <w:spacing w:val="-2"/>
              </w:rPr>
              <w:t>间关系连续。</w:t>
            </w:r>
          </w:p>
        </w:tc>
      </w:tr>
      <w:tr>
        <w:trPr>
          <w:trHeight w:val="477" w:hRule="atLeast"/>
        </w:trPr>
        <w:tc>
          <w:tcPr>
            <w:shd w:val="clear" w:fill="FFF7D6"/>
            <w:tcW w:w="2438" w:type="dxa"/>
            <w:vAlign w:val="top"/>
          </w:tcPr>
          <w:p>
            <w:pPr>
              <w:pStyle w:val="TableText"/>
              <w:ind w:left="859"/>
              <w:spacing w:before="141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725000"/>
                <w:spacing w:val="-1"/>
              </w:rPr>
              <w:t>运镜类型</w:t>
            </w:r>
          </w:p>
        </w:tc>
        <w:tc>
          <w:tcPr>
            <w:tcW w:w="7539" w:type="dxa"/>
            <w:vAlign w:val="top"/>
          </w:tcPr>
          <w:p>
            <w:pPr>
              <w:pStyle w:val="TableText"/>
              <w:ind w:left="110"/>
              <w:spacing w:before="144" w:line="17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推进、拉远、环绕、横移、跟拍、俯仰、摇摄等类型保持一致。</w:t>
            </w:r>
          </w:p>
        </w:tc>
      </w:tr>
      <w:tr>
        <w:trPr>
          <w:trHeight w:val="475" w:hRule="atLeast"/>
        </w:trPr>
        <w:tc>
          <w:tcPr>
            <w:shd w:val="clear" w:fill="FFF7D6"/>
            <w:tcW w:w="2438" w:type="dxa"/>
            <w:vAlign w:val="top"/>
          </w:tcPr>
          <w:p>
            <w:pPr>
              <w:pStyle w:val="TableText"/>
              <w:ind w:left="859"/>
              <w:spacing w:before="141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725000"/>
                <w:spacing w:val="-1"/>
              </w:rPr>
              <w:t>运镜节奏</w:t>
            </w:r>
          </w:p>
        </w:tc>
        <w:tc>
          <w:tcPr>
            <w:tcW w:w="7539" w:type="dxa"/>
            <w:vAlign w:val="top"/>
          </w:tcPr>
          <w:p>
            <w:pPr>
              <w:pStyle w:val="TableText"/>
              <w:ind w:left="114"/>
              <w:spacing w:before="144" w:line="17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单镜头内速度、加速度、停顿和节奏尽量匹配。</w:t>
            </w:r>
          </w:p>
        </w:tc>
      </w:tr>
      <w:tr>
        <w:trPr>
          <w:trHeight w:val="477" w:hRule="atLeast"/>
        </w:trPr>
        <w:tc>
          <w:tcPr>
            <w:shd w:val="clear" w:fill="FFF7D6"/>
            <w:tcW w:w="2438" w:type="dxa"/>
            <w:vAlign w:val="top"/>
          </w:tcPr>
          <w:p>
            <w:pPr>
              <w:pStyle w:val="TableText"/>
              <w:ind w:left="866"/>
              <w:spacing w:before="144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725000"/>
                <w:spacing w:val="-3"/>
              </w:rPr>
              <w:t>画面内容</w:t>
            </w:r>
          </w:p>
        </w:tc>
        <w:tc>
          <w:tcPr>
            <w:tcW w:w="7539" w:type="dxa"/>
            <w:vAlign w:val="top"/>
          </w:tcPr>
          <w:p>
            <w:pPr>
              <w:pStyle w:val="TableText"/>
              <w:ind w:left="115"/>
              <w:spacing w:before="146" w:line="17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主体在画面中的位置、大小、可见性、出入画</w:t>
            </w:r>
            <w:r>
              <w:rPr>
                <w:sz w:val="18"/>
                <w:szCs w:val="18"/>
                <w:spacing w:val="-2"/>
              </w:rPr>
              <w:t>时机对齐。</w:t>
            </w:r>
          </w:p>
        </w:tc>
      </w:tr>
      <w:tr>
        <w:trPr>
          <w:trHeight w:val="475" w:hRule="atLeast"/>
        </w:trPr>
        <w:tc>
          <w:tcPr>
            <w:shd w:val="clear" w:fill="FFF7D6"/>
            <w:tcW w:w="2438" w:type="dxa"/>
            <w:vAlign w:val="top"/>
          </w:tcPr>
          <w:p>
            <w:pPr>
              <w:pStyle w:val="TableText"/>
              <w:ind w:left="1040"/>
              <w:spacing w:before="143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725000"/>
                <w:spacing w:val="-2"/>
              </w:rPr>
              <w:t>视角</w:t>
            </w:r>
          </w:p>
        </w:tc>
        <w:tc>
          <w:tcPr>
            <w:tcW w:w="7539" w:type="dxa"/>
            <w:vAlign w:val="top"/>
          </w:tcPr>
          <w:p>
            <w:pPr>
              <w:pStyle w:val="TableText"/>
              <w:ind w:left="110"/>
              <w:spacing w:before="146" w:line="20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机位高度、方向、俯仰/仰拍关系和焦段观</w:t>
            </w:r>
            <w:r>
              <w:rPr>
                <w:sz w:val="18"/>
                <w:szCs w:val="18"/>
                <w:spacing w:val="-2"/>
              </w:rPr>
              <w:t>感一致。</w:t>
            </w:r>
          </w:p>
        </w:tc>
      </w:tr>
      <w:tr>
        <w:trPr>
          <w:trHeight w:val="477" w:hRule="atLeast"/>
        </w:trPr>
        <w:tc>
          <w:tcPr>
            <w:shd w:val="clear" w:fill="FFF7D6"/>
            <w:tcW w:w="2438" w:type="dxa"/>
            <w:vAlign w:val="top"/>
          </w:tcPr>
          <w:p>
            <w:pPr>
              <w:pStyle w:val="TableText"/>
              <w:ind w:left="1039"/>
              <w:spacing w:before="145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725000"/>
                <w:spacing w:val="-2"/>
              </w:rPr>
              <w:t>遮挡</w:t>
            </w:r>
          </w:p>
        </w:tc>
        <w:tc>
          <w:tcPr>
            <w:tcW w:w="7539" w:type="dxa"/>
            <w:vAlign w:val="top"/>
          </w:tcPr>
          <w:p>
            <w:pPr>
              <w:pStyle w:val="TableText"/>
              <w:ind w:left="114"/>
              <w:spacing w:before="148" w:line="17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前景穿插、被遮挡区域和重新出现的时点一致。</w:t>
            </w:r>
          </w:p>
        </w:tc>
      </w:tr>
      <w:tr>
        <w:trPr>
          <w:trHeight w:val="475" w:hRule="atLeast"/>
        </w:trPr>
        <w:tc>
          <w:tcPr>
            <w:shd w:val="clear" w:fill="FFF7D6"/>
            <w:tcW w:w="2438" w:type="dxa"/>
            <w:vAlign w:val="top"/>
          </w:tcPr>
          <w:p>
            <w:pPr>
              <w:pStyle w:val="TableText"/>
              <w:ind w:left="680"/>
              <w:spacing w:before="145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725000"/>
                <w:spacing w:val="-1"/>
              </w:rPr>
              <w:t>关键空间元素</w:t>
            </w:r>
          </w:p>
        </w:tc>
        <w:tc>
          <w:tcPr>
            <w:tcW w:w="7539" w:type="dxa"/>
            <w:vAlign w:val="top"/>
          </w:tcPr>
          <w:p>
            <w:pPr>
              <w:pStyle w:val="TableText"/>
              <w:ind w:left="113"/>
              <w:spacing w:before="149" w:line="17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关键物体在画面中的覆盖范围和相对位置一致。</w:t>
            </w:r>
          </w:p>
        </w:tc>
      </w:tr>
      <w:tr>
        <w:trPr>
          <w:trHeight w:val="482" w:hRule="atLeast"/>
        </w:trPr>
        <w:tc>
          <w:tcPr>
            <w:shd w:val="clear" w:fill="FFF7D6"/>
            <w:tcW w:w="2438" w:type="dxa"/>
            <w:vAlign w:val="top"/>
          </w:tcPr>
          <w:p>
            <w:pPr>
              <w:pStyle w:val="TableText"/>
              <w:ind w:left="768"/>
              <w:spacing w:before="147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725000"/>
                <w:spacing w:val="-1"/>
              </w:rPr>
              <w:t>镜头稳定性</w:t>
            </w:r>
          </w:p>
        </w:tc>
        <w:tc>
          <w:tcPr>
            <w:tcW w:w="7539" w:type="dxa"/>
            <w:vAlign w:val="top"/>
          </w:tcPr>
          <w:p>
            <w:pPr>
              <w:pStyle w:val="TableText"/>
              <w:ind w:left="113"/>
              <w:spacing w:before="150" w:line="20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手持感、抖动和平滑度与参考一致；允许一定容差，但不得影响轨迹判断。</w:t>
            </w:r>
          </w:p>
        </w:tc>
      </w:tr>
    </w:tbl>
    <w:p>
      <w:pPr>
        <w:pStyle w:val="BodyText"/>
        <w:ind w:left="29"/>
        <w:spacing w:before="232" w:line="191" w:lineRule="auto"/>
        <w:outlineLvl w:val="1"/>
        <w:rPr>
          <w:sz w:val="25"/>
          <w:szCs w:val="25"/>
        </w:rPr>
      </w:pPr>
      <w:r>
        <w:rPr>
          <w:sz w:val="25"/>
          <w:szCs w:val="25"/>
          <w:b/>
          <w:bCs/>
          <w:color w:val="1F3048"/>
          <w:spacing w:val="-3"/>
        </w:rPr>
        <w:t>4.1 镜头制作建议</w:t>
      </w:r>
    </w:p>
    <w:p>
      <w:pPr>
        <w:pStyle w:val="BodyText"/>
        <w:ind w:left="24"/>
        <w:spacing w:before="166" w:line="178" w:lineRule="auto"/>
        <w:rPr>
          <w:sz w:val="21"/>
          <w:szCs w:val="21"/>
        </w:rPr>
      </w:pPr>
      <w:r>
        <w:rPr>
          <w:sz w:val="21"/>
          <w:szCs w:val="21"/>
          <w:spacing w:val="-2"/>
        </w:rPr>
        <w:t>●    </w:t>
      </w:r>
      <w:r>
        <w:rPr>
          <w:sz w:val="21"/>
          <w:szCs w:val="21"/>
          <w:color w:val="2E3540"/>
          <w:spacing w:val="-2"/>
        </w:rPr>
        <w:t>先按参考视频完成分镜切段和时间轴标记</w:t>
      </w:r>
      <w:r>
        <w:rPr>
          <w:sz w:val="21"/>
          <w:szCs w:val="21"/>
          <w:color w:val="2E3540"/>
          <w:spacing w:val="-23"/>
        </w:rPr>
        <w:t xml:space="preserve"> </w:t>
      </w:r>
      <w:r>
        <w:rPr>
          <w:sz w:val="21"/>
          <w:szCs w:val="21"/>
          <w:color w:val="2E3540"/>
          <w:spacing w:val="-2"/>
        </w:rPr>
        <w:t>，再逐镜头建立相机。</w:t>
      </w:r>
    </w:p>
    <w:p>
      <w:pPr>
        <w:pStyle w:val="BodyText"/>
        <w:ind w:left="24"/>
        <w:spacing w:before="103" w:line="175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优先对齐关键帧：镜头起点、动作转折</w:t>
      </w:r>
      <w:r>
        <w:rPr>
          <w:sz w:val="21"/>
          <w:szCs w:val="21"/>
          <w:color w:val="2E3540"/>
          <w:spacing w:val="-2"/>
        </w:rPr>
        <w:t>、主体出入画、遮挡发生、切镜前后。</w:t>
      </w:r>
    </w:p>
    <w:p>
      <w:pPr>
        <w:pStyle w:val="BodyText"/>
        <w:ind w:left="24"/>
        <w:spacing w:before="107" w:line="202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相机运动应使用可编辑轨迹；避</w:t>
      </w:r>
      <w:r>
        <w:rPr>
          <w:sz w:val="21"/>
          <w:szCs w:val="21"/>
          <w:color w:val="2E3540"/>
          <w:spacing w:val="-2"/>
        </w:rPr>
        <w:t>免用难以复核的随机抖动。</w:t>
      </w:r>
    </w:p>
    <w:p>
      <w:pPr>
        <w:pStyle w:val="BodyText"/>
        <w:ind w:left="24"/>
        <w:spacing w:before="67" w:line="178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同一镜头中，若主体轨迹与相机轨迹共同作用，应分别校准，不能仅靠移动主体“</w:t>
      </w:r>
      <w:r>
        <w:rPr>
          <w:sz w:val="21"/>
          <w:szCs w:val="21"/>
          <w:color w:val="2E3540"/>
          <w:spacing w:val="-2"/>
        </w:rPr>
        <w:t>凑画面”。</w:t>
      </w:r>
    </w:p>
    <w:p>
      <w:pPr>
        <w:spacing w:line="98" w:lineRule="exact"/>
        <w:rPr/>
      </w:pPr>
      <w:r/>
    </w:p>
    <w:tbl>
      <w:tblPr>
        <w:tblStyle w:val="TableNormal"/>
        <w:tblW w:w="9978" w:type="dxa"/>
        <w:tblInd w:w="22" w:type="dxa"/>
        <w:shd w:val="clear" w:fill="EAF4F7"/>
        <w:tblLayout w:type="fixed"/>
        <w:tblBorders>
          <w:left w:val="single" w:color="2F7181" w:sz="18" w:space="0"/>
          <w:bottom w:val="single" w:color="EAF4F7" w:sz="2" w:space="0"/>
          <w:right w:val="single" w:color="EAF4F7" w:sz="2" w:space="0"/>
          <w:top w:val="single" w:color="EAF4F7" w:sz="2" w:space="0"/>
        </w:tblBorders>
      </w:tblPr>
      <w:tblGrid>
        <w:gridCol w:w="9978"/>
      </w:tblGrid>
      <w:tr>
        <w:trPr>
          <w:trHeight w:val="1013" w:hRule="atLeast"/>
        </w:trPr>
        <w:tc>
          <w:tcPr>
            <w:shd w:val="clear" w:fill="EAF4F7"/>
            <w:tcW w:w="9978" w:type="dxa"/>
            <w:vAlign w:val="top"/>
          </w:tcPr>
          <w:p>
            <w:pPr>
              <w:pStyle w:val="TableText"/>
              <w:ind w:left="166" w:right="202" w:hanging="3"/>
              <w:spacing w:before="211" w:line="228" w:lineRule="auto"/>
              <w:rPr>
                <w:sz w:val="20"/>
                <w:szCs w:val="20"/>
              </w:rPr>
            </w:pPr>
            <w:r>
              <w:rPr>
                <w:sz w:val="21"/>
                <w:szCs w:val="21"/>
                <w:b/>
                <w:bCs/>
                <w:color w:val="2F7181"/>
                <w:spacing w:val="-1"/>
              </w:rPr>
              <w:t>验收重点</w:t>
            </w:r>
            <w:r>
              <w:rPr>
                <w:sz w:val="21"/>
                <w:szCs w:val="21"/>
                <w:b/>
                <w:bCs/>
                <w:color w:val="2F7181"/>
                <w:spacing w:val="56"/>
                <w:w w:val="101"/>
              </w:rPr>
              <w:t xml:space="preserve"> </w:t>
            </w:r>
            <w:r>
              <w:rPr>
                <w:sz w:val="20"/>
                <w:szCs w:val="20"/>
                <w:color w:val="2E3540"/>
                <w:spacing w:val="-1"/>
              </w:rPr>
              <w:t>镜头复刻不是只对齐首尾帧；shot 内的速度、加减速、节奏和主体相对画面的位置变化同样需要一</w:t>
            </w:r>
            <w:r>
              <w:rPr>
                <w:sz w:val="20"/>
                <w:szCs w:val="20"/>
                <w:color w:val="2E3540"/>
                <w:spacing w:val="-10"/>
              </w:rPr>
              <w:t>致。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7" w:h="16838"/>
          <w:pgMar w:top="995" w:right="959" w:bottom="636" w:left="941" w:header="0" w:footer="35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41"/>
        <w:spacing w:before="65" w:line="191" w:lineRule="auto"/>
        <w:outlineLvl w:val="0"/>
        <w:rPr>
          <w:sz w:val="32"/>
          <w:szCs w:val="32"/>
        </w:rPr>
      </w:pPr>
      <w:r>
        <w:rPr>
          <w:sz w:val="32"/>
          <w:szCs w:val="32"/>
          <w:b/>
          <w:bCs/>
          <w:color w:val="1F3048"/>
          <w:spacing w:val="-3"/>
        </w:rPr>
        <w:t>五、光照要求</w:t>
      </w:r>
    </w:p>
    <w:p>
      <w:pPr>
        <w:pStyle w:val="BodyText"/>
        <w:ind w:left="32" w:right="110"/>
        <w:spacing w:before="166" w:line="271" w:lineRule="auto"/>
        <w:rPr>
          <w:sz w:val="21"/>
          <w:szCs w:val="21"/>
        </w:rPr>
      </w:pPr>
      <w:r>
        <w:rPr>
          <w:sz w:val="21"/>
          <w:szCs w:val="21"/>
          <w:color w:val="2E3540"/>
        </w:rPr>
        <w:t>基础阶段仅需表达光照方向、强弱、明暗关系及明显的光源运动。不追求阴影细节、真</w:t>
      </w:r>
      <w:r>
        <w:rPr>
          <w:sz w:val="21"/>
          <w:szCs w:val="21"/>
          <w:color w:val="2E3540"/>
          <w:spacing w:val="-1"/>
        </w:rPr>
        <w:t>实材质反射或高成本</w:t>
      </w:r>
      <w:r>
        <w:rPr>
          <w:sz w:val="21"/>
          <w:szCs w:val="21"/>
          <w:color w:val="2E3540"/>
          <w:spacing w:val="-2"/>
        </w:rPr>
        <w:t>渲染，可直接使用 Eevee。</w:t>
      </w:r>
    </w:p>
    <w:tbl>
      <w:tblPr>
        <w:tblStyle w:val="TableNormal"/>
        <w:tblW w:w="9977" w:type="dxa"/>
        <w:tblInd w:w="22" w:type="dxa"/>
        <w:tblLayout w:type="fixed"/>
        <w:tblBorders>
          <w:top w:val="single" w:color="D9DEE7" w:sz="4" w:space="0"/>
          <w:left w:val="single" w:color="D9DEE7" w:sz="4" w:space="0"/>
          <w:bottom w:val="single" w:color="D9DEE7" w:sz="4" w:space="0"/>
          <w:right w:val="single" w:color="D9DEE7" w:sz="4" w:space="0"/>
          <w:insideH w:val="single" w:color="D9DEE7" w:sz="4" w:space="0"/>
          <w:insideV w:val="single" w:color="D9DEE7" w:sz="4" w:space="0"/>
        </w:tblBorders>
      </w:tblPr>
      <w:tblGrid>
        <w:gridCol w:w="2610"/>
        <w:gridCol w:w="7367"/>
      </w:tblGrid>
      <w:tr>
        <w:trPr>
          <w:trHeight w:val="493" w:hRule="atLeast"/>
        </w:trPr>
        <w:tc>
          <w:tcPr>
            <w:shd w:val="clear" w:fill="E9EEF5"/>
            <w:tcW w:w="2610" w:type="dxa"/>
            <w:vAlign w:val="top"/>
          </w:tcPr>
          <w:p>
            <w:pPr>
              <w:pStyle w:val="TableText"/>
              <w:ind w:left="1021"/>
              <w:spacing w:before="145" w:line="191" w:lineRule="auto"/>
              <w:rPr/>
            </w:pPr>
            <w:r>
              <w:rPr>
                <w:b/>
                <w:bCs/>
                <w:color w:val="2C3543"/>
                <w:spacing w:val="-2"/>
              </w:rPr>
              <w:t>检查项</w:t>
            </w:r>
          </w:p>
        </w:tc>
        <w:tc>
          <w:tcPr>
            <w:shd w:val="clear" w:fill="E9EEF5"/>
            <w:tcW w:w="7367" w:type="dxa"/>
            <w:vAlign w:val="top"/>
          </w:tcPr>
          <w:p>
            <w:pPr>
              <w:pStyle w:val="TableText"/>
              <w:ind w:left="3303"/>
              <w:spacing w:before="145" w:line="191" w:lineRule="auto"/>
              <w:rPr/>
            </w:pPr>
            <w:r>
              <w:rPr>
                <w:b/>
                <w:bCs/>
                <w:color w:val="2C3543"/>
                <w:spacing w:val="-1"/>
              </w:rPr>
              <w:t>验收要求</w:t>
            </w:r>
          </w:p>
        </w:tc>
      </w:tr>
      <w:tr>
        <w:trPr>
          <w:trHeight w:val="477" w:hRule="atLeast"/>
        </w:trPr>
        <w:tc>
          <w:tcPr>
            <w:shd w:val="clear" w:fill="EAF4F7"/>
            <w:tcW w:w="2610" w:type="dxa"/>
            <w:vAlign w:val="top"/>
          </w:tcPr>
          <w:p>
            <w:pPr>
              <w:pStyle w:val="TableText"/>
              <w:ind w:left="945"/>
              <w:spacing w:before="140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265D68"/>
                <w:spacing w:val="-1"/>
              </w:rPr>
              <w:t>基础光照</w:t>
            </w:r>
          </w:p>
        </w:tc>
        <w:tc>
          <w:tcPr>
            <w:tcW w:w="7367" w:type="dxa"/>
            <w:vAlign w:val="top"/>
          </w:tcPr>
          <w:p>
            <w:pPr>
              <w:pStyle w:val="TableText"/>
              <w:ind w:left="114"/>
              <w:spacing w:before="142" w:line="20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主光方向、强弱、主体与场景的明暗关系可读；无需精细阴影。</w:t>
            </w:r>
          </w:p>
        </w:tc>
      </w:tr>
      <w:tr>
        <w:trPr>
          <w:trHeight w:val="475" w:hRule="atLeast"/>
        </w:trPr>
        <w:tc>
          <w:tcPr>
            <w:shd w:val="clear" w:fill="EAF4F7"/>
            <w:tcW w:w="2610" w:type="dxa"/>
            <w:vAlign w:val="top"/>
          </w:tcPr>
          <w:p>
            <w:pPr>
              <w:pStyle w:val="TableText"/>
              <w:ind w:left="735"/>
              <w:spacing w:before="141" w:line="19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265D68"/>
                <w:spacing w:val="-4"/>
              </w:rPr>
              <w:t>主体/环境区分</w:t>
            </w:r>
          </w:p>
        </w:tc>
        <w:tc>
          <w:tcPr>
            <w:tcW w:w="7367" w:type="dxa"/>
            <w:vAlign w:val="top"/>
          </w:tcPr>
          <w:p>
            <w:pPr>
              <w:pStyle w:val="TableText"/>
              <w:ind w:left="114"/>
              <w:spacing w:before="143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主体与环境在亮度、色相或饱和度上应存在足够区分</w:t>
            </w:r>
            <w:r>
              <w:rPr>
                <w:sz w:val="18"/>
                <w:szCs w:val="18"/>
                <w:spacing w:val="-29"/>
              </w:rPr>
              <w:t xml:space="preserve"> </w:t>
            </w:r>
            <w:r>
              <w:rPr>
                <w:sz w:val="18"/>
                <w:szCs w:val="18"/>
                <w:spacing w:val="-1"/>
              </w:rPr>
              <w:t>，避免</w:t>
            </w:r>
            <w:r>
              <w:rPr>
                <w:sz w:val="18"/>
                <w:szCs w:val="18"/>
                <w:spacing w:val="-2"/>
              </w:rPr>
              <w:t>轮廓混淆。</w:t>
            </w:r>
          </w:p>
        </w:tc>
      </w:tr>
      <w:tr>
        <w:trPr>
          <w:trHeight w:val="477" w:hRule="atLeast"/>
        </w:trPr>
        <w:tc>
          <w:tcPr>
            <w:shd w:val="clear" w:fill="EAF4F7"/>
            <w:tcW w:w="2610" w:type="dxa"/>
            <w:vAlign w:val="top"/>
          </w:tcPr>
          <w:p>
            <w:pPr>
              <w:pStyle w:val="TableText"/>
              <w:ind w:left="764"/>
              <w:spacing w:before="143" w:line="19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265D68"/>
                <w:spacing w:val="-1"/>
              </w:rPr>
              <w:t>相对光照对齐</w:t>
            </w:r>
          </w:p>
        </w:tc>
        <w:tc>
          <w:tcPr>
            <w:tcW w:w="7367" w:type="dxa"/>
            <w:vAlign w:val="top"/>
          </w:tcPr>
          <w:p>
            <w:pPr>
              <w:pStyle w:val="TableText"/>
              <w:ind w:left="111"/>
              <w:spacing w:before="144" w:line="20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参考画面中明显的亮暗区域、逆光/侧光关系应在白模中体现。</w:t>
            </w:r>
          </w:p>
        </w:tc>
      </w:tr>
      <w:tr>
        <w:trPr>
          <w:trHeight w:val="475" w:hRule="atLeast"/>
        </w:trPr>
        <w:tc>
          <w:tcPr>
            <w:shd w:val="clear" w:fill="EAF4F7"/>
            <w:tcW w:w="2610" w:type="dxa"/>
            <w:vAlign w:val="top"/>
          </w:tcPr>
          <w:p>
            <w:pPr>
              <w:pStyle w:val="TableText"/>
              <w:ind w:left="945"/>
              <w:spacing w:before="142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265D68"/>
                <w:spacing w:val="-1"/>
              </w:rPr>
              <w:t>光源运动</w:t>
            </w:r>
          </w:p>
        </w:tc>
        <w:tc>
          <w:tcPr>
            <w:tcW w:w="7367" w:type="dxa"/>
            <w:vAlign w:val="top"/>
          </w:tcPr>
          <w:p>
            <w:pPr>
              <w:pStyle w:val="TableText"/>
              <w:ind w:left="111"/>
              <w:spacing w:before="146" w:line="17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参考中存在明显移动光、闪烁、扫光时，需要复刻其方向、范围和节奏。</w:t>
            </w:r>
          </w:p>
        </w:tc>
      </w:tr>
      <w:tr>
        <w:trPr>
          <w:trHeight w:val="476" w:hRule="atLeast"/>
        </w:trPr>
        <w:tc>
          <w:tcPr>
            <w:shd w:val="clear" w:fill="EAF4F7"/>
            <w:tcW w:w="2610" w:type="dxa"/>
            <w:vAlign w:val="top"/>
          </w:tcPr>
          <w:p>
            <w:pPr>
              <w:pStyle w:val="TableText"/>
              <w:ind w:left="945"/>
              <w:spacing w:before="145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265D68"/>
                <w:spacing w:val="-1"/>
              </w:rPr>
              <w:t>复杂光效</w:t>
            </w:r>
          </w:p>
        </w:tc>
        <w:tc>
          <w:tcPr>
            <w:tcW w:w="7367" w:type="dxa"/>
            <w:vAlign w:val="top"/>
          </w:tcPr>
          <w:p>
            <w:pPr>
              <w:pStyle w:val="TableText"/>
              <w:ind w:left="112"/>
              <w:spacing w:before="147" w:line="20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只有当光效承担剧情、动作或空间判断功能时才制作；不包含普通基础日光。</w:t>
            </w:r>
          </w:p>
        </w:tc>
      </w:tr>
      <w:tr>
        <w:trPr>
          <w:trHeight w:val="479" w:hRule="atLeast"/>
        </w:trPr>
        <w:tc>
          <w:tcPr>
            <w:shd w:val="clear" w:fill="EAF4F7"/>
            <w:tcW w:w="2610" w:type="dxa"/>
            <w:vAlign w:val="top"/>
          </w:tcPr>
          <w:p>
            <w:pPr>
              <w:pStyle w:val="TableText"/>
              <w:ind w:left="945"/>
              <w:spacing w:before="145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265D68"/>
                <w:spacing w:val="-1"/>
              </w:rPr>
              <w:t>渲染方式</w:t>
            </w:r>
          </w:p>
        </w:tc>
        <w:tc>
          <w:tcPr>
            <w:tcW w:w="7367" w:type="dxa"/>
            <w:vAlign w:val="top"/>
          </w:tcPr>
          <w:p>
            <w:pPr>
              <w:pStyle w:val="TableText"/>
              <w:ind w:left="109"/>
              <w:spacing w:before="147" w:line="18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默认 Eevee；无需 Cycles</w:t>
            </w:r>
            <w:r>
              <w:rPr>
                <w:sz w:val="18"/>
                <w:szCs w:val="18"/>
                <w:spacing w:val="-30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，除非项目另行要求。</w:t>
            </w:r>
          </w:p>
        </w:tc>
      </w:tr>
    </w:tbl>
    <w:p>
      <w:pPr>
        <w:pStyle w:val="BodyText"/>
        <w:ind w:left="30"/>
        <w:spacing w:before="234" w:line="191" w:lineRule="auto"/>
        <w:outlineLvl w:val="1"/>
        <w:rPr>
          <w:sz w:val="25"/>
          <w:szCs w:val="25"/>
        </w:rPr>
      </w:pPr>
      <w:r>
        <w:rPr>
          <w:sz w:val="25"/>
          <w:szCs w:val="25"/>
          <w:b/>
          <w:bCs/>
          <w:color w:val="1F3048"/>
          <w:spacing w:val="-3"/>
        </w:rPr>
        <w:t>5.1 不合格情形</w:t>
      </w:r>
    </w:p>
    <w:p>
      <w:pPr>
        <w:pStyle w:val="BodyText"/>
        <w:ind w:left="24"/>
        <w:spacing w:before="166" w:line="178" w:lineRule="auto"/>
        <w:rPr>
          <w:sz w:val="21"/>
          <w:szCs w:val="21"/>
        </w:rPr>
      </w:pPr>
      <w:r>
        <w:rPr>
          <w:sz w:val="21"/>
          <w:szCs w:val="21"/>
          <w:spacing w:val="-2"/>
        </w:rPr>
        <w:t>●    </w:t>
      </w:r>
      <w:r>
        <w:rPr>
          <w:sz w:val="21"/>
          <w:szCs w:val="21"/>
          <w:color w:val="2E3540"/>
          <w:spacing w:val="-2"/>
        </w:rPr>
        <w:t>主体与场景无明显亮暗或色彩区分</w:t>
      </w:r>
      <w:r>
        <w:rPr>
          <w:sz w:val="21"/>
          <w:szCs w:val="21"/>
          <w:color w:val="2E3540"/>
          <w:spacing w:val="-34"/>
        </w:rPr>
        <w:t xml:space="preserve"> </w:t>
      </w:r>
      <w:r>
        <w:rPr>
          <w:sz w:val="21"/>
          <w:szCs w:val="21"/>
          <w:color w:val="2E3540"/>
          <w:spacing w:val="-2"/>
        </w:rPr>
        <w:t>，导致轮廓和</w:t>
      </w:r>
      <w:r>
        <w:rPr>
          <w:sz w:val="21"/>
          <w:szCs w:val="21"/>
          <w:color w:val="2E3540"/>
          <w:spacing w:val="-3"/>
        </w:rPr>
        <w:t>遮挡关系难以判断。</w:t>
      </w:r>
    </w:p>
    <w:p>
      <w:pPr>
        <w:pStyle w:val="BodyText"/>
        <w:ind w:left="24"/>
        <w:spacing w:before="102" w:line="178" w:lineRule="auto"/>
        <w:rPr>
          <w:sz w:val="21"/>
          <w:szCs w:val="21"/>
        </w:rPr>
      </w:pPr>
      <w:r>
        <w:rPr>
          <w:sz w:val="21"/>
          <w:szCs w:val="21"/>
          <w:spacing w:val="-2"/>
        </w:rPr>
        <w:t>●    </w:t>
      </w:r>
      <w:r>
        <w:rPr>
          <w:sz w:val="21"/>
          <w:szCs w:val="21"/>
          <w:color w:val="2E3540"/>
          <w:spacing w:val="-2"/>
        </w:rPr>
        <w:t>参考视频有明显光照变化，但白模中完全没有表达。</w:t>
      </w:r>
    </w:p>
    <w:p>
      <w:pPr>
        <w:pStyle w:val="BodyText"/>
        <w:ind w:left="24"/>
        <w:spacing w:before="103" w:line="178" w:lineRule="auto"/>
        <w:rPr>
          <w:sz w:val="21"/>
          <w:szCs w:val="21"/>
        </w:rPr>
      </w:pPr>
      <w:r>
        <w:rPr>
          <w:sz w:val="21"/>
          <w:szCs w:val="21"/>
          <w:spacing w:val="-2"/>
        </w:rPr>
        <w:t>●    </w:t>
      </w:r>
      <w:r>
        <w:rPr>
          <w:sz w:val="21"/>
          <w:szCs w:val="21"/>
          <w:color w:val="2E3540"/>
          <w:spacing w:val="-2"/>
        </w:rPr>
        <w:t>光照方向与参考相反</w:t>
      </w:r>
      <w:r>
        <w:rPr>
          <w:sz w:val="21"/>
          <w:szCs w:val="21"/>
          <w:color w:val="2E3540"/>
          <w:spacing w:val="-27"/>
        </w:rPr>
        <w:t xml:space="preserve"> </w:t>
      </w:r>
      <w:r>
        <w:rPr>
          <w:sz w:val="21"/>
          <w:szCs w:val="21"/>
          <w:color w:val="2E3540"/>
          <w:spacing w:val="-2"/>
        </w:rPr>
        <w:t>，造成空间方向或人物朝向判断错误。</w:t>
      </w:r>
    </w:p>
    <w:p>
      <w:pPr>
        <w:pStyle w:val="BodyText"/>
        <w:ind w:left="24"/>
        <w:spacing w:before="103" w:line="178" w:lineRule="auto"/>
        <w:rPr>
          <w:sz w:val="21"/>
          <w:szCs w:val="21"/>
        </w:rPr>
      </w:pPr>
      <w:r>
        <w:rPr>
          <w:sz w:val="21"/>
          <w:szCs w:val="21"/>
          <w:spacing w:val="-2"/>
        </w:rPr>
        <w:t>●    </w:t>
      </w:r>
      <w:r>
        <w:rPr>
          <w:sz w:val="21"/>
          <w:szCs w:val="21"/>
          <w:color w:val="2E3540"/>
          <w:spacing w:val="-2"/>
        </w:rPr>
        <w:t>使用复杂材质或高成本渲染，但未提升动作、镜头或空间验收质量。</w:t>
      </w:r>
    </w:p>
    <w:p>
      <w:pPr>
        <w:spacing w:line="97" w:lineRule="exact"/>
        <w:rPr/>
      </w:pPr>
      <w:r/>
    </w:p>
    <w:tbl>
      <w:tblPr>
        <w:tblStyle w:val="TableNormal"/>
        <w:tblW w:w="9978" w:type="dxa"/>
        <w:tblInd w:w="22" w:type="dxa"/>
        <w:shd w:val="clear" w:fill="F1F3F6"/>
        <w:tblLayout w:type="fixed"/>
        <w:tblBorders>
          <w:left w:val="single" w:color="4A5568" w:sz="18" w:space="0"/>
          <w:bottom w:val="single" w:color="F1F3F6" w:sz="2" w:space="0"/>
          <w:right w:val="single" w:color="F1F3F6" w:sz="2" w:space="0"/>
          <w:top w:val="single" w:color="F1F3F6" w:sz="2" w:space="0"/>
        </w:tblBorders>
      </w:tblPr>
      <w:tblGrid>
        <w:gridCol w:w="9978"/>
      </w:tblGrid>
      <w:tr>
        <w:trPr>
          <w:trHeight w:val="681" w:hRule="atLeast"/>
        </w:trPr>
        <w:tc>
          <w:tcPr>
            <w:shd w:val="clear" w:fill="F1F3F6"/>
            <w:tcW w:w="9978" w:type="dxa"/>
            <w:vAlign w:val="top"/>
          </w:tcPr>
          <w:p>
            <w:pPr>
              <w:pStyle w:val="TableText"/>
              <w:ind w:left="163"/>
              <w:spacing w:before="213" w:line="197" w:lineRule="auto"/>
              <w:rPr>
                <w:sz w:val="20"/>
                <w:szCs w:val="20"/>
              </w:rPr>
            </w:pPr>
            <w:r>
              <w:rPr>
                <w:sz w:val="21"/>
                <w:szCs w:val="21"/>
                <w:b/>
                <w:bCs/>
                <w:color w:val="4A5568"/>
              </w:rPr>
              <w:t>制作边界</w:t>
            </w:r>
            <w:r>
              <w:rPr>
                <w:sz w:val="21"/>
                <w:szCs w:val="21"/>
                <w:b/>
                <w:bCs/>
                <w:color w:val="4A5568"/>
                <w:spacing w:val="40"/>
              </w:rPr>
              <w:t xml:space="preserve"> </w:t>
            </w:r>
            <w:r>
              <w:rPr>
                <w:sz w:val="20"/>
                <w:szCs w:val="20"/>
                <w:color w:val="2E3540"/>
              </w:rPr>
              <w:t>光照服务于可读性和对齐验证，不以电影级质感为目标。没有明确验</w:t>
            </w:r>
            <w:r>
              <w:rPr>
                <w:sz w:val="20"/>
                <w:szCs w:val="20"/>
                <w:color w:val="2E3540"/>
                <w:spacing w:val="-1"/>
              </w:rPr>
              <w:t>收价值的光影细节可以省略。</w:t>
            </w:r>
          </w:p>
        </w:tc>
      </w:tr>
    </w:tbl>
    <w:p>
      <w:pPr>
        <w:spacing w:line="462" w:lineRule="auto"/>
        <w:rPr>
          <w:rFonts w:ascii="Arial"/>
          <w:sz w:val="21"/>
        </w:rPr>
      </w:pPr>
      <w:r/>
    </w:p>
    <w:p>
      <w:pPr>
        <w:pStyle w:val="BodyText"/>
        <w:ind w:left="35"/>
        <w:spacing w:before="138" w:line="191" w:lineRule="auto"/>
        <w:outlineLvl w:val="0"/>
        <w:rPr>
          <w:sz w:val="32"/>
          <w:szCs w:val="32"/>
        </w:rPr>
      </w:pPr>
      <w:r>
        <w:rPr>
          <w:sz w:val="32"/>
          <w:szCs w:val="32"/>
          <w:b/>
          <w:bCs/>
          <w:color w:val="1F3048"/>
          <w:spacing w:val="-2"/>
        </w:rPr>
        <w:t>六、交付与验收流程</w:t>
      </w:r>
    </w:p>
    <w:p>
      <w:pPr>
        <w:pStyle w:val="BodyText"/>
        <w:ind w:left="36"/>
        <w:spacing w:before="234" w:line="191" w:lineRule="auto"/>
        <w:outlineLvl w:val="1"/>
        <w:rPr>
          <w:sz w:val="25"/>
          <w:szCs w:val="25"/>
        </w:rPr>
      </w:pPr>
      <w:r>
        <w:rPr>
          <w:sz w:val="25"/>
          <w:szCs w:val="25"/>
          <w:b/>
          <w:bCs/>
          <w:color w:val="1F3048"/>
          <w:spacing w:val="-4"/>
        </w:rPr>
        <w:t>6.1 建议交付物</w:t>
      </w:r>
    </w:p>
    <w:p>
      <w:pPr>
        <w:pStyle w:val="BodyText"/>
        <w:ind w:left="24"/>
        <w:spacing w:before="164" w:line="193" w:lineRule="auto"/>
        <w:rPr>
          <w:sz w:val="21"/>
          <w:szCs w:val="21"/>
        </w:rPr>
      </w:pPr>
      <w:r>
        <w:rPr>
          <w:sz w:val="21"/>
          <w:szCs w:val="21"/>
          <w:spacing w:val="-2"/>
        </w:rPr>
        <w:t>●    </w:t>
      </w:r>
      <w:r>
        <w:rPr>
          <w:sz w:val="21"/>
          <w:szCs w:val="21"/>
          <w:color w:val="2E3540"/>
          <w:spacing w:val="-2"/>
        </w:rPr>
        <w:t>参考视频对应的白模复刻视频（MP4），时长、分辨率、帧率按项目约</w:t>
      </w:r>
      <w:r>
        <w:rPr>
          <w:sz w:val="21"/>
          <w:szCs w:val="21"/>
          <w:color w:val="2E3540"/>
          <w:spacing w:val="-3"/>
        </w:rPr>
        <w:t>定。</w:t>
      </w:r>
    </w:p>
    <w:p>
      <w:pPr>
        <w:pStyle w:val="BodyText"/>
        <w:ind w:left="24"/>
        <w:spacing w:before="80" w:line="199" w:lineRule="auto"/>
        <w:rPr>
          <w:sz w:val="21"/>
          <w:szCs w:val="21"/>
        </w:rPr>
      </w:pPr>
      <w:r>
        <w:rPr>
          <w:sz w:val="21"/>
          <w:szCs w:val="21"/>
          <w:spacing w:val="-2"/>
        </w:rPr>
        <w:t>●    </w:t>
      </w:r>
      <w:r>
        <w:rPr>
          <w:sz w:val="21"/>
          <w:szCs w:val="21"/>
          <w:color w:val="2E3540"/>
          <w:spacing w:val="-2"/>
        </w:rPr>
        <w:t>可编辑 Blender 工程文件（</w:t>
      </w:r>
      <w:r>
        <w:rPr>
          <w:sz w:val="21"/>
          <w:szCs w:val="21"/>
          <w:color w:val="2E3540"/>
          <w:spacing w:val="-36"/>
        </w:rPr>
        <w:t xml:space="preserve"> </w:t>
      </w:r>
      <w:r>
        <w:rPr>
          <w:sz w:val="21"/>
          <w:szCs w:val="21"/>
          <w:color w:val="2E3540"/>
          <w:spacing w:val="-2"/>
        </w:rPr>
        <w:t>.blend</w:t>
      </w:r>
      <w:r>
        <w:rPr>
          <w:sz w:val="21"/>
          <w:szCs w:val="21"/>
          <w:color w:val="2E3540"/>
          <w:spacing w:val="-4"/>
        </w:rPr>
        <w:t>），</w:t>
      </w:r>
      <w:r>
        <w:rPr>
          <w:sz w:val="21"/>
          <w:szCs w:val="21"/>
          <w:color w:val="2E3540"/>
          <w:spacing w:val="-2"/>
        </w:rPr>
        <w:t>场景、主体、相机、灯光和镜头分段命名清晰。</w:t>
      </w:r>
    </w:p>
    <w:p>
      <w:pPr>
        <w:pStyle w:val="BodyText"/>
        <w:ind w:left="24"/>
        <w:spacing w:before="72" w:line="179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●    </w:t>
      </w:r>
      <w:r>
        <w:rPr>
          <w:sz w:val="21"/>
          <w:szCs w:val="21"/>
          <w:color w:val="2E3540"/>
          <w:spacing w:val="-1"/>
        </w:rPr>
        <w:t>若使用外部资源，需随工程打包或提供明确的相对路径</w:t>
      </w:r>
      <w:r>
        <w:rPr>
          <w:sz w:val="21"/>
          <w:szCs w:val="21"/>
          <w:color w:val="2E3540"/>
          <w:spacing w:val="-34"/>
        </w:rPr>
        <w:t xml:space="preserve"> </w:t>
      </w:r>
      <w:r>
        <w:rPr>
          <w:sz w:val="21"/>
          <w:szCs w:val="21"/>
          <w:color w:val="2E3540"/>
          <w:spacing w:val="-2"/>
        </w:rPr>
        <w:t>，确保可在交付环境中打开。</w:t>
      </w:r>
    </w:p>
    <w:p>
      <w:pPr>
        <w:pStyle w:val="BodyText"/>
        <w:ind w:left="24"/>
        <w:spacing w:before="101" w:line="179" w:lineRule="auto"/>
        <w:rPr>
          <w:sz w:val="21"/>
          <w:szCs w:val="21"/>
        </w:rPr>
      </w:pPr>
      <w:r>
        <w:rPr>
          <w:sz w:val="21"/>
          <w:szCs w:val="21"/>
          <w:spacing w:val="-2"/>
        </w:rPr>
        <w:t>●    </w:t>
      </w:r>
      <w:r>
        <w:rPr>
          <w:sz w:val="21"/>
          <w:szCs w:val="21"/>
          <w:color w:val="2E3540"/>
          <w:spacing w:val="-2"/>
        </w:rPr>
        <w:t>重要镜头或特殊处理需在工程内备注，便于复核和修改。</w:t>
      </w:r>
    </w:p>
    <w:p>
      <w:pPr>
        <w:pStyle w:val="BodyText"/>
        <w:ind w:left="36"/>
        <w:spacing w:before="272" w:line="191" w:lineRule="auto"/>
        <w:outlineLvl w:val="1"/>
        <w:rPr>
          <w:sz w:val="25"/>
          <w:szCs w:val="25"/>
        </w:rPr>
      </w:pPr>
      <w:r>
        <w:rPr>
          <w:sz w:val="25"/>
          <w:szCs w:val="25"/>
          <w:b/>
          <w:bCs/>
          <w:color w:val="1F3048"/>
          <w:spacing w:val="-5"/>
        </w:rPr>
        <w:t>6.2 验收顺序</w:t>
      </w:r>
    </w:p>
    <w:p>
      <w:pPr>
        <w:spacing w:line="101" w:lineRule="exact"/>
        <w:rPr/>
      </w:pPr>
      <w:r/>
    </w:p>
    <w:tbl>
      <w:tblPr>
        <w:tblStyle w:val="TableNormal"/>
        <w:tblW w:w="9977" w:type="dxa"/>
        <w:tblInd w:w="22" w:type="dxa"/>
        <w:tblLayout w:type="fixed"/>
        <w:tblBorders>
          <w:top w:val="single" w:color="D9DEE7" w:sz="4" w:space="0"/>
          <w:left w:val="single" w:color="D9DEE7" w:sz="4" w:space="0"/>
          <w:bottom w:val="single" w:color="D9DEE7" w:sz="4" w:space="0"/>
          <w:right w:val="single" w:color="D9DEE7" w:sz="4" w:space="0"/>
          <w:insideH w:val="single" w:color="D9DEE7" w:sz="4" w:space="0"/>
          <w:insideV w:val="single" w:color="D9DEE7" w:sz="4" w:space="0"/>
        </w:tblBorders>
      </w:tblPr>
      <w:tblGrid>
        <w:gridCol w:w="1136"/>
        <w:gridCol w:w="2663"/>
        <w:gridCol w:w="6178"/>
      </w:tblGrid>
      <w:tr>
        <w:trPr>
          <w:trHeight w:val="493" w:hRule="atLeast"/>
        </w:trPr>
        <w:tc>
          <w:tcPr>
            <w:shd w:val="clear" w:fill="E9EEF5"/>
            <w:tcW w:w="1136" w:type="dxa"/>
            <w:vAlign w:val="top"/>
          </w:tcPr>
          <w:p>
            <w:pPr>
              <w:pStyle w:val="TableText"/>
              <w:ind w:left="381"/>
              <w:spacing w:before="145" w:line="191" w:lineRule="auto"/>
              <w:rPr/>
            </w:pPr>
            <w:r>
              <w:rPr>
                <w:b/>
                <w:bCs/>
                <w:color w:val="2C3543"/>
                <w:spacing w:val="-3"/>
              </w:rPr>
              <w:t>步骤</w:t>
            </w:r>
          </w:p>
        </w:tc>
        <w:tc>
          <w:tcPr>
            <w:shd w:val="clear" w:fill="E9EEF5"/>
            <w:tcW w:w="2663" w:type="dxa"/>
            <w:vAlign w:val="top"/>
          </w:tcPr>
          <w:p>
            <w:pPr>
              <w:pStyle w:val="TableText"/>
              <w:ind w:left="1044"/>
              <w:spacing w:before="145" w:line="191" w:lineRule="auto"/>
              <w:rPr/>
            </w:pPr>
            <w:r>
              <w:rPr>
                <w:b/>
                <w:bCs/>
                <w:color w:val="2C3543"/>
                <w:spacing w:val="-1"/>
              </w:rPr>
              <w:t>验收项</w:t>
            </w:r>
          </w:p>
        </w:tc>
        <w:tc>
          <w:tcPr>
            <w:shd w:val="clear" w:fill="E9EEF5"/>
            <w:tcW w:w="6178" w:type="dxa"/>
            <w:vAlign w:val="top"/>
          </w:tcPr>
          <w:p>
            <w:pPr>
              <w:pStyle w:val="TableText"/>
              <w:ind w:left="2903"/>
              <w:spacing w:before="145" w:line="190" w:lineRule="auto"/>
              <w:rPr/>
            </w:pPr>
            <w:r>
              <w:rPr>
                <w:b/>
                <w:bCs/>
                <w:color w:val="2C3543"/>
                <w:spacing w:val="-2"/>
              </w:rPr>
              <w:t>说明</w:t>
            </w:r>
          </w:p>
        </w:tc>
      </w:tr>
      <w:tr>
        <w:trPr>
          <w:trHeight w:val="476" w:hRule="atLeast"/>
        </w:trPr>
        <w:tc>
          <w:tcPr>
            <w:shd w:val="clear" w:fill="EAF4F7"/>
            <w:tcW w:w="1136" w:type="dxa"/>
            <w:vAlign w:val="top"/>
          </w:tcPr>
          <w:p>
            <w:pPr>
              <w:pStyle w:val="TableText"/>
              <w:ind w:left="464"/>
              <w:spacing w:before="141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265D68"/>
                <w:spacing w:val="-7"/>
              </w:rPr>
              <w:t>01</w:t>
            </w:r>
          </w:p>
        </w:tc>
        <w:tc>
          <w:tcPr>
            <w:tcW w:w="2663" w:type="dxa"/>
            <w:vAlign w:val="top"/>
          </w:tcPr>
          <w:p>
            <w:pPr>
              <w:pStyle w:val="TableText"/>
              <w:ind w:left="114"/>
              <w:spacing w:before="140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时间轴与切镜</w:t>
            </w:r>
          </w:p>
        </w:tc>
        <w:tc>
          <w:tcPr>
            <w:tcW w:w="6178" w:type="dxa"/>
            <w:vAlign w:val="top"/>
          </w:tcPr>
          <w:p>
            <w:pPr>
              <w:pStyle w:val="TableText"/>
              <w:ind w:left="111"/>
              <w:spacing w:before="146" w:line="17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确认总时长、镜头段落和切镜时点。</w:t>
            </w:r>
          </w:p>
        </w:tc>
      </w:tr>
      <w:tr>
        <w:trPr>
          <w:trHeight w:val="475" w:hRule="atLeast"/>
        </w:trPr>
        <w:tc>
          <w:tcPr>
            <w:shd w:val="clear" w:fill="EAF4F7"/>
            <w:tcW w:w="1136" w:type="dxa"/>
            <w:vAlign w:val="top"/>
          </w:tcPr>
          <w:p>
            <w:pPr>
              <w:pStyle w:val="TableText"/>
              <w:ind w:left="464"/>
              <w:spacing w:before="142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265D68"/>
                <w:spacing w:val="-7"/>
              </w:rPr>
              <w:t>02</w:t>
            </w:r>
          </w:p>
        </w:tc>
        <w:tc>
          <w:tcPr>
            <w:tcW w:w="2663" w:type="dxa"/>
            <w:vAlign w:val="top"/>
          </w:tcPr>
          <w:p>
            <w:pPr>
              <w:pStyle w:val="TableText"/>
              <w:ind w:left="106"/>
              <w:spacing w:before="141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"/>
              </w:rPr>
              <w:t>镜头与构图</w:t>
            </w:r>
          </w:p>
        </w:tc>
        <w:tc>
          <w:tcPr>
            <w:tcW w:w="6178" w:type="dxa"/>
            <w:vAlign w:val="top"/>
          </w:tcPr>
          <w:p>
            <w:pPr>
              <w:pStyle w:val="TableText"/>
              <w:ind w:left="111"/>
              <w:spacing w:before="148" w:line="175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确认机位、视角、运镜类型和节奏。</w:t>
            </w:r>
          </w:p>
        </w:tc>
      </w:tr>
      <w:tr>
        <w:trPr>
          <w:trHeight w:val="476" w:hRule="atLeast"/>
        </w:trPr>
        <w:tc>
          <w:tcPr>
            <w:shd w:val="clear" w:fill="EAF4F7"/>
            <w:tcW w:w="1136" w:type="dxa"/>
            <w:vAlign w:val="top"/>
          </w:tcPr>
          <w:p>
            <w:pPr>
              <w:pStyle w:val="TableText"/>
              <w:ind w:left="464"/>
              <w:spacing w:before="144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265D68"/>
                <w:spacing w:val="-7"/>
              </w:rPr>
              <w:t>03</w:t>
            </w:r>
          </w:p>
        </w:tc>
        <w:tc>
          <w:tcPr>
            <w:tcW w:w="2663" w:type="dxa"/>
            <w:vAlign w:val="top"/>
          </w:tcPr>
          <w:p>
            <w:pPr>
              <w:pStyle w:val="TableText"/>
              <w:ind w:left="112"/>
              <w:spacing w:before="144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主体与动作</w:t>
            </w:r>
          </w:p>
        </w:tc>
        <w:tc>
          <w:tcPr>
            <w:tcW w:w="6178" w:type="dxa"/>
            <w:vAlign w:val="top"/>
          </w:tcPr>
          <w:p>
            <w:pPr>
              <w:pStyle w:val="TableText"/>
              <w:ind w:left="111"/>
              <w:spacing w:before="150" w:line="175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确认站位、朝向、比例、运动轨迹和关键动作。</w:t>
            </w:r>
          </w:p>
        </w:tc>
      </w:tr>
      <w:tr>
        <w:trPr>
          <w:trHeight w:val="475" w:hRule="atLeast"/>
        </w:trPr>
        <w:tc>
          <w:tcPr>
            <w:shd w:val="clear" w:fill="EAF4F7"/>
            <w:tcW w:w="1136" w:type="dxa"/>
            <w:vAlign w:val="top"/>
          </w:tcPr>
          <w:p>
            <w:pPr>
              <w:pStyle w:val="TableText"/>
              <w:ind w:left="464"/>
              <w:spacing w:before="14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265D68"/>
                <w:spacing w:val="-7"/>
              </w:rPr>
              <w:t>04</w:t>
            </w:r>
          </w:p>
        </w:tc>
        <w:tc>
          <w:tcPr>
            <w:tcW w:w="2663" w:type="dxa"/>
            <w:vAlign w:val="top"/>
          </w:tcPr>
          <w:p>
            <w:pPr>
              <w:pStyle w:val="TableText"/>
              <w:ind w:left="107"/>
              <w:spacing w:before="144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"/>
              </w:rPr>
              <w:t>场景与遮挡</w:t>
            </w:r>
          </w:p>
        </w:tc>
        <w:tc>
          <w:tcPr>
            <w:tcW w:w="6178" w:type="dxa"/>
            <w:vAlign w:val="top"/>
          </w:tcPr>
          <w:p>
            <w:pPr>
              <w:pStyle w:val="TableText"/>
              <w:ind w:left="111"/>
              <w:spacing w:before="150" w:line="175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确认透视、关键参照物、接触和遮挡关系。</w:t>
            </w:r>
          </w:p>
        </w:tc>
      </w:tr>
      <w:tr>
        <w:trPr>
          <w:trHeight w:val="481" w:hRule="atLeast"/>
        </w:trPr>
        <w:tc>
          <w:tcPr>
            <w:shd w:val="clear" w:fill="EAF4F7"/>
            <w:tcW w:w="1136" w:type="dxa"/>
            <w:vAlign w:val="top"/>
          </w:tcPr>
          <w:p>
            <w:pPr>
              <w:pStyle w:val="TableText"/>
              <w:ind w:left="464"/>
              <w:spacing w:before="14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265D68"/>
                <w:spacing w:val="-7"/>
              </w:rPr>
              <w:t>05</w:t>
            </w:r>
          </w:p>
        </w:tc>
        <w:tc>
          <w:tcPr>
            <w:tcW w:w="2663" w:type="dxa"/>
            <w:vAlign w:val="top"/>
          </w:tcPr>
          <w:p>
            <w:pPr>
              <w:pStyle w:val="TableText"/>
              <w:ind w:left="107"/>
              <w:spacing w:before="146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"/>
              </w:rPr>
              <w:t>光照与可读性</w:t>
            </w:r>
          </w:p>
        </w:tc>
        <w:tc>
          <w:tcPr>
            <w:tcW w:w="6178" w:type="dxa"/>
            <w:vAlign w:val="top"/>
          </w:tcPr>
          <w:p>
            <w:pPr>
              <w:pStyle w:val="TableText"/>
              <w:ind w:left="111"/>
              <w:spacing w:before="153" w:line="175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确认明暗、方向、光效和主体可辨识度。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7" w:h="16838"/>
          <w:pgMar w:top="1075" w:right="959" w:bottom="635" w:left="941" w:header="0" w:footer="34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30"/>
        <w:spacing w:before="66" w:line="191" w:lineRule="auto"/>
        <w:outlineLvl w:val="0"/>
        <w:rPr>
          <w:sz w:val="32"/>
          <w:szCs w:val="32"/>
        </w:rPr>
      </w:pPr>
      <w:r>
        <w:rPr>
          <w:sz w:val="32"/>
          <w:szCs w:val="32"/>
          <w:b/>
          <w:bCs/>
          <w:color w:val="1F3048"/>
          <w:spacing w:val="-3"/>
        </w:rPr>
        <w:t>附录：外发验收清单</w:t>
      </w:r>
    </w:p>
    <w:p>
      <w:pPr>
        <w:pStyle w:val="BodyText"/>
        <w:ind w:left="27"/>
        <w:spacing w:before="165" w:line="178" w:lineRule="auto"/>
        <w:rPr>
          <w:sz w:val="21"/>
          <w:szCs w:val="21"/>
        </w:rPr>
      </w:pPr>
      <w:r>
        <w:rPr>
          <w:sz w:val="21"/>
          <w:szCs w:val="21"/>
          <w:color w:val="2E3540"/>
          <w:spacing w:val="-2"/>
        </w:rPr>
        <w:t>以下清单可直接用于内部自检或甲乙双方验收。建议每个镜头逐项勾选</w:t>
      </w:r>
      <w:r>
        <w:rPr>
          <w:sz w:val="21"/>
          <w:szCs w:val="21"/>
          <w:color w:val="2E3540"/>
          <w:spacing w:val="-25"/>
        </w:rPr>
        <w:t xml:space="preserve"> </w:t>
      </w:r>
      <w:r>
        <w:rPr>
          <w:sz w:val="21"/>
          <w:szCs w:val="21"/>
          <w:color w:val="2E3540"/>
          <w:spacing w:val="-2"/>
        </w:rPr>
        <w:t>，并记录需要修改的时间点。</w:t>
      </w:r>
    </w:p>
    <w:p>
      <w:pPr>
        <w:spacing w:line="156" w:lineRule="exact"/>
        <w:rPr/>
      </w:pPr>
      <w:r/>
    </w:p>
    <w:tbl>
      <w:tblPr>
        <w:tblStyle w:val="TableNormal"/>
        <w:tblW w:w="9977" w:type="dxa"/>
        <w:tblInd w:w="5" w:type="dxa"/>
        <w:tblLayout w:type="fixed"/>
        <w:tblBorders>
          <w:top w:val="single" w:color="D9DEE7" w:sz="4" w:space="0"/>
          <w:left w:val="single" w:color="D9DEE7" w:sz="4" w:space="0"/>
          <w:bottom w:val="single" w:color="D9DEE7" w:sz="4" w:space="0"/>
          <w:right w:val="single" w:color="D9DEE7" w:sz="4" w:space="0"/>
          <w:insideH w:val="single" w:color="D9DEE7" w:sz="4" w:space="0"/>
          <w:insideV w:val="single" w:color="D9DEE7" w:sz="4" w:space="0"/>
        </w:tblBorders>
      </w:tblPr>
      <w:tblGrid>
        <w:gridCol w:w="1363"/>
        <w:gridCol w:w="5776"/>
        <w:gridCol w:w="1361"/>
        <w:gridCol w:w="1477"/>
      </w:tblGrid>
      <w:tr>
        <w:trPr>
          <w:trHeight w:val="496" w:hRule="atLeast"/>
        </w:trPr>
        <w:tc>
          <w:tcPr>
            <w:shd w:val="clear" w:fill="E9EEF5"/>
            <w:tcW w:w="1363" w:type="dxa"/>
            <w:vAlign w:val="top"/>
          </w:tcPr>
          <w:p>
            <w:pPr>
              <w:pStyle w:val="TableText"/>
              <w:ind w:left="490"/>
              <w:spacing w:before="145" w:line="191" w:lineRule="auto"/>
              <w:rPr/>
            </w:pPr>
            <w:r>
              <w:rPr>
                <w:b/>
                <w:bCs/>
                <w:color w:val="2C3543"/>
                <w:spacing w:val="-1"/>
              </w:rPr>
              <w:t>模块</w:t>
            </w:r>
          </w:p>
        </w:tc>
        <w:tc>
          <w:tcPr>
            <w:shd w:val="clear" w:fill="E9EEF5"/>
            <w:tcW w:w="5776" w:type="dxa"/>
            <w:vAlign w:val="top"/>
          </w:tcPr>
          <w:p>
            <w:pPr>
              <w:pStyle w:val="TableText"/>
              <w:ind w:left="2510"/>
              <w:spacing w:before="146" w:line="191" w:lineRule="auto"/>
              <w:rPr/>
            </w:pPr>
            <w:r>
              <w:rPr>
                <w:b/>
                <w:bCs/>
                <w:color w:val="2C3543"/>
                <w:spacing w:val="-1"/>
              </w:rPr>
              <w:t>检查内容</w:t>
            </w:r>
          </w:p>
        </w:tc>
        <w:tc>
          <w:tcPr>
            <w:shd w:val="clear" w:fill="E9EEF5"/>
            <w:tcW w:w="1361" w:type="dxa"/>
            <w:vAlign w:val="top"/>
          </w:tcPr>
          <w:p>
            <w:pPr>
              <w:pStyle w:val="TableText"/>
              <w:ind w:left="495"/>
              <w:spacing w:before="146" w:line="191" w:lineRule="auto"/>
              <w:rPr/>
            </w:pPr>
            <w:r>
              <w:rPr>
                <w:b/>
                <w:bCs/>
                <w:color w:val="2C3543"/>
                <w:spacing w:val="-2"/>
              </w:rPr>
              <w:t>通过</w:t>
            </w:r>
          </w:p>
        </w:tc>
        <w:tc>
          <w:tcPr>
            <w:shd w:val="clear" w:fill="E9EEF5"/>
            <w:tcW w:w="1477" w:type="dxa"/>
            <w:vAlign w:val="top"/>
          </w:tcPr>
          <w:p>
            <w:pPr>
              <w:pStyle w:val="TableText"/>
              <w:ind w:left="551"/>
              <w:spacing w:before="146" w:line="192" w:lineRule="auto"/>
              <w:rPr/>
            </w:pPr>
            <w:r>
              <w:rPr>
                <w:b/>
                <w:bCs/>
                <w:color w:val="2C3543"/>
                <w:spacing w:val="-1"/>
              </w:rPr>
              <w:t>备注</w:t>
            </w:r>
          </w:p>
        </w:tc>
      </w:tr>
      <w:tr>
        <w:trPr>
          <w:trHeight w:val="648" w:hRule="atLeast"/>
        </w:trPr>
        <w:tc>
          <w:tcPr>
            <w:shd w:val="clear" w:fill="FFF7D6"/>
            <w:tcW w:w="1363" w:type="dxa"/>
            <w:vAlign w:val="top"/>
          </w:tcPr>
          <w:p>
            <w:pPr>
              <w:pStyle w:val="TableText"/>
              <w:ind w:left="506"/>
              <w:spacing w:before="224" w:line="19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725000"/>
                <w:spacing w:val="-3"/>
              </w:rPr>
              <w:t>主体</w:t>
            </w:r>
          </w:p>
        </w:tc>
        <w:tc>
          <w:tcPr>
            <w:tcW w:w="5776" w:type="dxa"/>
            <w:vAlign w:val="top"/>
          </w:tcPr>
          <w:p>
            <w:pPr>
              <w:pStyle w:val="TableText"/>
              <w:ind w:left="112"/>
              <w:spacing w:before="228" w:line="17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站位、尺寸、面部朝向、身体朝向、关键动作与轨迹</w:t>
            </w:r>
          </w:p>
        </w:tc>
        <w:tc>
          <w:tcPr>
            <w:tcW w:w="1361" w:type="dxa"/>
            <w:vAlign w:val="top"/>
          </w:tcPr>
          <w:p>
            <w:pPr>
              <w:pStyle w:val="TableText"/>
              <w:ind w:left="560"/>
              <w:spacing w:before="176" w:line="19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  <w:spacing w:val="44"/>
              </w:rPr>
              <w:t>□</w:t>
            </w:r>
          </w:p>
        </w:tc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" w:hRule="atLeast"/>
        </w:trPr>
        <w:tc>
          <w:tcPr>
            <w:shd w:val="clear" w:fill="FFF7D6"/>
            <w:tcW w:w="1363" w:type="dxa"/>
            <w:vAlign w:val="top"/>
          </w:tcPr>
          <w:p>
            <w:pPr>
              <w:pStyle w:val="TableText"/>
              <w:ind w:left="501"/>
              <w:spacing w:before="227" w:line="19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725000"/>
                <w:spacing w:val="-2"/>
              </w:rPr>
              <w:t>场景</w:t>
            </w:r>
          </w:p>
        </w:tc>
        <w:tc>
          <w:tcPr>
            <w:tcW w:w="5776" w:type="dxa"/>
            <w:vAlign w:val="top"/>
          </w:tcPr>
          <w:p>
            <w:pPr>
              <w:pStyle w:val="TableText"/>
              <w:ind w:left="112"/>
              <w:spacing w:before="229" w:line="17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透视、纵深、关键参照物、接触点、遮挡与切镜连续性</w:t>
            </w:r>
          </w:p>
        </w:tc>
        <w:tc>
          <w:tcPr>
            <w:tcW w:w="1361" w:type="dxa"/>
            <w:vAlign w:val="top"/>
          </w:tcPr>
          <w:p>
            <w:pPr>
              <w:pStyle w:val="TableText"/>
              <w:ind w:left="560"/>
              <w:spacing w:before="178" w:line="19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  <w:spacing w:val="44"/>
              </w:rPr>
              <w:t>□</w:t>
            </w:r>
          </w:p>
        </w:tc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9" w:hRule="atLeast"/>
        </w:trPr>
        <w:tc>
          <w:tcPr>
            <w:shd w:val="clear" w:fill="FFF7D6"/>
            <w:tcW w:w="1363" w:type="dxa"/>
            <w:vAlign w:val="top"/>
          </w:tcPr>
          <w:p>
            <w:pPr>
              <w:pStyle w:val="TableText"/>
              <w:ind w:left="500"/>
              <w:spacing w:before="228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725000"/>
                <w:spacing w:val="-1"/>
              </w:rPr>
              <w:t>镜头</w:t>
            </w:r>
          </w:p>
        </w:tc>
        <w:tc>
          <w:tcPr>
            <w:tcW w:w="5776" w:type="dxa"/>
            <w:vAlign w:val="top"/>
          </w:tcPr>
          <w:p>
            <w:pPr>
              <w:pStyle w:val="TableText"/>
              <w:ind w:left="109"/>
              <w:spacing w:before="231" w:line="17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切镜时点、运镜类型、速度节奏、视角、构图、稳定性</w:t>
            </w:r>
          </w:p>
        </w:tc>
        <w:tc>
          <w:tcPr>
            <w:tcW w:w="1361" w:type="dxa"/>
            <w:vAlign w:val="top"/>
          </w:tcPr>
          <w:p>
            <w:pPr>
              <w:pStyle w:val="TableText"/>
              <w:ind w:left="560"/>
              <w:spacing w:before="180" w:line="19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  <w:spacing w:val="44"/>
              </w:rPr>
              <w:t>□</w:t>
            </w:r>
          </w:p>
        </w:tc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9" w:hRule="atLeast"/>
        </w:trPr>
        <w:tc>
          <w:tcPr>
            <w:shd w:val="clear" w:fill="FFF7D6"/>
            <w:tcW w:w="1363" w:type="dxa"/>
            <w:vAlign w:val="top"/>
          </w:tcPr>
          <w:p>
            <w:pPr>
              <w:pStyle w:val="TableText"/>
              <w:ind w:left="501"/>
              <w:spacing w:before="229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725000"/>
                <w:spacing w:val="-2"/>
              </w:rPr>
              <w:t>光照</w:t>
            </w:r>
          </w:p>
        </w:tc>
        <w:tc>
          <w:tcPr>
            <w:tcW w:w="5776" w:type="dxa"/>
            <w:vAlign w:val="top"/>
          </w:tcPr>
          <w:p>
            <w:pPr>
              <w:pStyle w:val="TableText"/>
              <w:ind w:left="112"/>
              <w:spacing w:before="231" w:line="1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方向、强弱、主客体区分、明显光效与光源运动</w:t>
            </w:r>
          </w:p>
        </w:tc>
        <w:tc>
          <w:tcPr>
            <w:tcW w:w="1361" w:type="dxa"/>
            <w:vAlign w:val="top"/>
          </w:tcPr>
          <w:p>
            <w:pPr>
              <w:pStyle w:val="TableText"/>
              <w:ind w:left="560"/>
              <w:spacing w:before="181" w:line="19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  <w:spacing w:val="44"/>
              </w:rPr>
              <w:t>□</w:t>
            </w:r>
          </w:p>
        </w:tc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9" w:hRule="atLeast"/>
        </w:trPr>
        <w:tc>
          <w:tcPr>
            <w:shd w:val="clear" w:fill="FFF7D6"/>
            <w:tcW w:w="1363" w:type="dxa"/>
            <w:vAlign w:val="top"/>
          </w:tcPr>
          <w:p>
            <w:pPr>
              <w:pStyle w:val="TableText"/>
              <w:ind w:left="505"/>
              <w:spacing w:before="231" w:line="19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725000"/>
                <w:spacing w:val="-3"/>
              </w:rPr>
              <w:t>工程</w:t>
            </w:r>
          </w:p>
        </w:tc>
        <w:tc>
          <w:tcPr>
            <w:tcW w:w="5776" w:type="dxa"/>
            <w:vAlign w:val="top"/>
          </w:tcPr>
          <w:p>
            <w:pPr>
              <w:pStyle w:val="TableText"/>
              <w:ind w:left="110"/>
              <w:spacing w:before="233" w:line="1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命名清晰、资产可打开、时间轴可复核、修改路径明确</w:t>
            </w:r>
          </w:p>
        </w:tc>
        <w:tc>
          <w:tcPr>
            <w:tcW w:w="1361" w:type="dxa"/>
            <w:vAlign w:val="top"/>
          </w:tcPr>
          <w:p>
            <w:pPr>
              <w:pStyle w:val="TableText"/>
              <w:ind w:left="560"/>
              <w:spacing w:before="182" w:line="19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  <w:spacing w:val="44"/>
              </w:rPr>
              <w:t>□</w:t>
            </w:r>
          </w:p>
        </w:tc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" w:hRule="atLeast"/>
        </w:trPr>
        <w:tc>
          <w:tcPr>
            <w:shd w:val="clear" w:fill="FFF7D6"/>
            <w:tcW w:w="1363" w:type="dxa"/>
            <w:vAlign w:val="top"/>
          </w:tcPr>
          <w:p>
            <w:pPr>
              <w:pStyle w:val="TableText"/>
              <w:ind w:left="502"/>
              <w:spacing w:before="231" w:line="19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color w:val="725000"/>
                <w:spacing w:val="-2"/>
              </w:rPr>
              <w:t>输出</w:t>
            </w:r>
          </w:p>
        </w:tc>
        <w:tc>
          <w:tcPr>
            <w:tcW w:w="5776" w:type="dxa"/>
            <w:vAlign w:val="top"/>
          </w:tcPr>
          <w:p>
            <w:pPr>
              <w:pStyle w:val="TableText"/>
              <w:ind w:left="118"/>
              <w:spacing w:before="234" w:line="17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时长、分辨率、帧率、编码和文件命名符合约定</w:t>
            </w:r>
          </w:p>
        </w:tc>
        <w:tc>
          <w:tcPr>
            <w:tcW w:w="1361" w:type="dxa"/>
            <w:vAlign w:val="top"/>
          </w:tcPr>
          <w:p>
            <w:pPr>
              <w:pStyle w:val="TableText"/>
              <w:ind w:left="560"/>
              <w:spacing w:before="183" w:line="19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  <w:spacing w:val="44"/>
              </w:rPr>
              <w:t>□</w:t>
            </w:r>
          </w:p>
        </w:tc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33" w:lineRule="auto"/>
        <w:rPr>
          <w:rFonts w:ascii="Arial"/>
          <w:sz w:val="21"/>
        </w:rPr>
      </w:pPr>
      <w:r/>
    </w:p>
    <w:p>
      <w:pPr>
        <w:pStyle w:val="BodyText"/>
        <w:ind w:left="4412"/>
        <w:spacing w:before="82" w:line="177" w:lineRule="auto"/>
        <w:rPr>
          <w:sz w:val="19"/>
          <w:szCs w:val="19"/>
        </w:rPr>
      </w:pPr>
      <w:r>
        <w:rPr>
          <w:sz w:val="19"/>
          <w:szCs w:val="19"/>
          <w:color w:val="787F8A"/>
          <w:spacing w:val="-8"/>
        </w:rPr>
        <w:t>— 文档结束 —</w:t>
      </w:r>
    </w:p>
    <w:sectPr>
      <w:footerReference w:type="default" r:id="rId9"/>
      <w:pgSz w:w="11907" w:h="16838"/>
      <w:pgMar w:top="1095" w:right="959" w:bottom="635" w:left="959" w:header="0" w:footer="34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020"/>
      <w:spacing w:line="186" w:lineRule="auto"/>
      <w:rPr>
        <w:sz w:val="21"/>
        <w:szCs w:val="21"/>
      </w:rPr>
    </w:pPr>
    <w:r>
      <w:rPr>
        <w:sz w:val="17"/>
        <w:szCs w:val="17"/>
        <w:color w:val="787F8A"/>
        <w:spacing w:val="-3"/>
      </w:rPr>
      <w:t>白模视频复刻需求与验收标准</w:t>
    </w:r>
    <w:r>
      <w:rPr>
        <w:sz w:val="17"/>
        <w:szCs w:val="17"/>
        <w:color w:val="787F8A"/>
        <w:spacing w:val="45"/>
      </w:rPr>
      <w:t xml:space="preserve"> </w:t>
    </w:r>
    <w:r>
      <w:rPr>
        <w:sz w:val="17"/>
        <w:szCs w:val="17"/>
        <w:color w:val="787F8A"/>
        <w:spacing w:val="-3"/>
      </w:rPr>
      <w:t>|</w:t>
    </w:r>
    <w:r>
      <w:rPr>
        <w:sz w:val="17"/>
        <w:szCs w:val="17"/>
        <w:color w:val="787F8A"/>
        <w:spacing w:val="44"/>
        <w:w w:val="101"/>
      </w:rPr>
      <w:t xml:space="preserve"> </w:t>
    </w:r>
    <w:r>
      <w:rPr>
        <w:sz w:val="21"/>
        <w:szCs w:val="21"/>
        <w:spacing w:val="-3"/>
      </w:rPr>
      <w:t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775"/>
      <w:spacing w:line="186" w:lineRule="auto"/>
      <w:rPr>
        <w:sz w:val="21"/>
        <w:szCs w:val="21"/>
      </w:rPr>
    </w:pPr>
    <w:r>
      <w:rPr>
        <w:sz w:val="17"/>
        <w:szCs w:val="17"/>
        <w:color w:val="787F8A"/>
        <w:spacing w:val="-3"/>
      </w:rPr>
      <w:t>白模视频复刻需求与验收标准</w:t>
    </w:r>
    <w:r>
      <w:rPr>
        <w:sz w:val="17"/>
        <w:szCs w:val="17"/>
        <w:color w:val="787F8A"/>
        <w:spacing w:val="45"/>
      </w:rPr>
      <w:t xml:space="preserve"> </w:t>
    </w:r>
    <w:r>
      <w:rPr>
        <w:sz w:val="17"/>
        <w:szCs w:val="17"/>
        <w:color w:val="787F8A"/>
        <w:spacing w:val="-3"/>
      </w:rPr>
      <w:t>|</w:t>
    </w:r>
    <w:r>
      <w:rPr>
        <w:sz w:val="17"/>
        <w:szCs w:val="17"/>
        <w:color w:val="787F8A"/>
        <w:spacing w:val="34"/>
        <w:w w:val="101"/>
      </w:rPr>
      <w:t xml:space="preserve"> </w:t>
    </w:r>
    <w:r>
      <w:rPr>
        <w:sz w:val="21"/>
        <w:szCs w:val="21"/>
        <w:spacing w:val="-3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775"/>
      <w:spacing w:line="186" w:lineRule="auto"/>
      <w:rPr>
        <w:sz w:val="21"/>
        <w:szCs w:val="21"/>
      </w:rPr>
    </w:pPr>
    <w:r>
      <w:rPr>
        <w:sz w:val="17"/>
        <w:szCs w:val="17"/>
        <w:color w:val="787F8A"/>
        <w:spacing w:val="-3"/>
      </w:rPr>
      <w:t>白模视频复刻需求与验收标准</w:t>
    </w:r>
    <w:r>
      <w:rPr>
        <w:sz w:val="17"/>
        <w:szCs w:val="17"/>
        <w:color w:val="787F8A"/>
        <w:spacing w:val="45"/>
      </w:rPr>
      <w:t xml:space="preserve"> </w:t>
    </w:r>
    <w:r>
      <w:rPr>
        <w:sz w:val="17"/>
        <w:szCs w:val="17"/>
        <w:color w:val="787F8A"/>
        <w:spacing w:val="-3"/>
      </w:rPr>
      <w:t>|</w:t>
    </w:r>
    <w:r>
      <w:rPr>
        <w:sz w:val="17"/>
        <w:szCs w:val="17"/>
        <w:color w:val="787F8A"/>
        <w:spacing w:val="32"/>
      </w:rPr>
      <w:t xml:space="preserve"> </w:t>
    </w:r>
    <w:r>
      <w:rPr>
        <w:sz w:val="21"/>
        <w:szCs w:val="21"/>
        <w:spacing w:val="-3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758"/>
      <w:spacing w:line="181" w:lineRule="auto"/>
      <w:rPr>
        <w:sz w:val="21"/>
        <w:szCs w:val="21"/>
      </w:rPr>
    </w:pPr>
    <w:r>
      <w:rPr>
        <w:sz w:val="17"/>
        <w:szCs w:val="17"/>
        <w:color w:val="787F8A"/>
        <w:spacing w:val="-3"/>
      </w:rPr>
      <w:t>白模视频复刻需求与验收标准</w:t>
    </w:r>
    <w:r>
      <w:rPr>
        <w:sz w:val="17"/>
        <w:szCs w:val="17"/>
        <w:color w:val="787F8A"/>
        <w:spacing w:val="45"/>
      </w:rPr>
      <w:t xml:space="preserve"> </w:t>
    </w:r>
    <w:r>
      <w:rPr>
        <w:sz w:val="17"/>
        <w:szCs w:val="17"/>
        <w:color w:val="787F8A"/>
        <w:spacing w:val="-3"/>
      </w:rPr>
      <w:t>|</w:t>
    </w:r>
    <w:r>
      <w:rPr>
        <w:sz w:val="17"/>
        <w:szCs w:val="17"/>
        <w:color w:val="787F8A"/>
        <w:spacing w:val="30"/>
      </w:rPr>
      <w:t xml:space="preserve"> </w:t>
    </w:r>
    <w:r>
      <w:rPr>
        <w:sz w:val="21"/>
        <w:szCs w:val="21"/>
        <w:spacing w:val="-3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775"/>
      <w:spacing w:line="181" w:lineRule="auto"/>
      <w:rPr>
        <w:sz w:val="21"/>
        <w:szCs w:val="21"/>
      </w:rPr>
    </w:pPr>
    <w:r>
      <w:rPr>
        <w:sz w:val="17"/>
        <w:szCs w:val="17"/>
        <w:color w:val="787F8A"/>
        <w:spacing w:val="-3"/>
      </w:rPr>
      <w:t>白模视频复刻需求与验收标准</w:t>
    </w:r>
    <w:r>
      <w:rPr>
        <w:sz w:val="17"/>
        <w:szCs w:val="17"/>
        <w:color w:val="787F8A"/>
        <w:spacing w:val="45"/>
      </w:rPr>
      <w:t xml:space="preserve"> </w:t>
    </w:r>
    <w:r>
      <w:rPr>
        <w:sz w:val="17"/>
        <w:szCs w:val="17"/>
        <w:color w:val="787F8A"/>
        <w:spacing w:val="-3"/>
      </w:rPr>
      <w:t>|</w:t>
    </w:r>
    <w:r>
      <w:rPr>
        <w:sz w:val="17"/>
        <w:szCs w:val="17"/>
        <w:color w:val="787F8A"/>
        <w:spacing w:val="31"/>
        <w:w w:val="101"/>
      </w:rPr>
      <w:t xml:space="preserve"> </w:t>
    </w:r>
    <w:r>
      <w:rPr>
        <w:sz w:val="21"/>
        <w:szCs w:val="21"/>
        <w:spacing w:val="-3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775"/>
      <w:spacing w:line="186" w:lineRule="auto"/>
      <w:rPr>
        <w:sz w:val="21"/>
        <w:szCs w:val="21"/>
      </w:rPr>
    </w:pPr>
    <w:r>
      <w:rPr>
        <w:sz w:val="17"/>
        <w:szCs w:val="17"/>
        <w:color w:val="787F8A"/>
        <w:spacing w:val="-3"/>
      </w:rPr>
      <w:t>白模视频复刻需求与验收标准</w:t>
    </w:r>
    <w:r>
      <w:rPr>
        <w:sz w:val="17"/>
        <w:szCs w:val="17"/>
        <w:color w:val="787F8A"/>
        <w:spacing w:val="45"/>
      </w:rPr>
      <w:t xml:space="preserve"> </w:t>
    </w:r>
    <w:r>
      <w:rPr>
        <w:sz w:val="17"/>
        <w:szCs w:val="17"/>
        <w:color w:val="787F8A"/>
        <w:spacing w:val="-3"/>
      </w:rPr>
      <w:t>|</w:t>
    </w:r>
    <w:r>
      <w:rPr>
        <w:sz w:val="17"/>
        <w:szCs w:val="17"/>
        <w:color w:val="787F8A"/>
        <w:spacing w:val="37"/>
        <w:w w:val="101"/>
      </w:rPr>
      <w:t xml:space="preserve"> </w:t>
    </w:r>
    <w:r>
      <w:rPr>
        <w:sz w:val="21"/>
        <w:szCs w:val="21"/>
        <w:spacing w:val="-3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758"/>
      <w:spacing w:line="186" w:lineRule="auto"/>
      <w:rPr>
        <w:sz w:val="21"/>
        <w:szCs w:val="21"/>
      </w:rPr>
    </w:pPr>
    <w:r>
      <w:rPr>
        <w:sz w:val="17"/>
        <w:szCs w:val="17"/>
        <w:color w:val="787F8A"/>
        <w:spacing w:val="-3"/>
      </w:rPr>
      <w:t>白模视频复刻需求与验收标准</w:t>
    </w:r>
    <w:r>
      <w:rPr>
        <w:sz w:val="17"/>
        <w:szCs w:val="17"/>
        <w:color w:val="787F8A"/>
        <w:spacing w:val="45"/>
      </w:rPr>
      <w:t xml:space="preserve"> </w:t>
    </w:r>
    <w:r>
      <w:rPr>
        <w:sz w:val="17"/>
        <w:szCs w:val="17"/>
        <w:color w:val="787F8A"/>
        <w:spacing w:val="-3"/>
      </w:rPr>
      <w:t>|</w:t>
    </w:r>
    <w:r>
      <w:rPr>
        <w:sz w:val="17"/>
        <w:szCs w:val="17"/>
        <w:color w:val="787F8A"/>
        <w:spacing w:val="36"/>
      </w:rPr>
      <w:t xml:space="preserve"> </w:t>
    </w:r>
    <w:r>
      <w:rPr>
        <w:sz w:val="21"/>
        <w:szCs w:val="21"/>
        <w:spacing w:val="-3"/>
      </w:rPr>
      <w:t>7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4"/>
      <w:szCs w:val="24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image" Target="media/image2.png"/><Relationship Id="rId5" Type="http://schemas.openxmlformats.org/officeDocument/2006/relationships/footer" Target="footer4.xml"/><Relationship Id="rId4" Type="http://schemas.openxmlformats.org/officeDocument/2006/relationships/image" Target="media/image1.png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2" Type="http://schemas.openxmlformats.org/officeDocument/2006/relationships/fontTable" Target="fontTable.xml"/><Relationship Id="rId11" Type="http://schemas.openxmlformats.org/officeDocument/2006/relationships/styles" Target="styles.xml"/><Relationship Id="rId10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Writer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白模视频复刻项目需求与验收标准</dc:title>
  <dc:subject>Blender 白模复刻外发需求文档</dc:subject>
  <cp:keywords>Blender, 白模, 视频复刻, 验收标准</cp:keywords>
  <dcterms:created xsi:type="dcterms:W3CDTF">2013-12-23T23:15:00Z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2026-08-30T16:10:18</vt:filetime>
  </property>
</Properties>
</file>